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610"/>
        </w:tabs>
        <w:ind w:firstLine="103" w:firstLineChars="49"/>
        <w:rPr>
          <w:rFonts w:hint="eastAsia"/>
          <w:b/>
        </w:rPr>
      </w:pPr>
    </w:p>
    <w:p>
      <w:pPr>
        <w:tabs>
          <w:tab w:val="left" w:pos="8610"/>
        </w:tabs>
        <w:ind w:firstLine="103" w:firstLineChars="49"/>
        <w:rPr>
          <w:b/>
        </w:rPr>
      </w:pPr>
    </w:p>
    <w:p>
      <w:pPr>
        <w:rPr>
          <w:b/>
          <w:sz w:val="28"/>
          <w:szCs w:val="28"/>
        </w:rPr>
      </w:pPr>
      <w:r>
        <w:rPr>
          <w:rFonts w:ascii="宋体" w:hAnsi="宋体"/>
          <w:b/>
          <w:sz w:val="32"/>
          <w:szCs w:val="32"/>
        </w:rPr>
        <w:pict>
          <v:rect id="文本框 13" o:spid="_x0000_s1026" o:spt="1" style="position:absolute;left:0pt;margin-left:-151.35pt;margin-top:5.55pt;height:728.65pt;width:118.55pt;z-index:251659264;mso-width-relative:page;mso-height-relative:page;" o:preferrelative="t" stroked="f" coordsize="21600,21600">
            <v:path/>
            <v:fill focussize="0,0"/>
            <v:stroke on="f"/>
            <v:imagedata o:title=""/>
            <o:lock v:ext="edit"/>
            <v:textbox style="layout-flow:vertical;mso-layout-flow-alt:bottom-to-top;">
              <w:txbxContent>
                <w:p>
                  <w:r>
                    <w:rPr>
                      <w:rFonts w:hint="eastAsia"/>
                    </w:rPr>
                    <w:t xml:space="preserve"> </w:t>
                  </w:r>
                  <w:r>
                    <w:pict>
                      <v:shape id="_x0000_i1025" o:spt="75" type="#_x0000_t75" style="height:687.4pt;width:69.3pt;" filled="f" o:preferrelative="t" stroked="f" coordsize="21600,21600">
                        <v:path/>
                        <v:fill on="f" focussize="0,0"/>
                        <v:stroke on="f" joinstyle="miter"/>
                        <v:imagedata r:id="rId6" o:title=""/>
                        <o:lock v:ext="edit" aspectratio="t"/>
                        <w10:wrap type="none"/>
                        <w10:anchorlock/>
                      </v:shape>
                    </w:pict>
                  </w:r>
                </w:p>
                <w:p>
                  <w:pPr>
                    <w:rPr>
                      <w:rFonts w:ascii="宋体" w:hAnsi="宋体"/>
                      <w:b/>
                      <w:sz w:val="24"/>
                    </w:rPr>
                  </w:pPr>
                  <w:r>
                    <w:rPr>
                      <w:rFonts w:ascii="宋体" w:hAnsi="宋体"/>
                      <w:b/>
                      <w:sz w:val="24"/>
                    </w:rPr>
                    <w:t>……………………………</w:t>
                  </w:r>
                  <w:r>
                    <w:rPr>
                      <w:rFonts w:hint="eastAsia" w:ascii="宋体" w:hAnsi="宋体"/>
                      <w:b/>
                      <w:sz w:val="24"/>
                    </w:rPr>
                    <w:t>装</w:t>
                  </w:r>
                  <w:r>
                    <w:rPr>
                      <w:rFonts w:ascii="宋体" w:hAnsi="宋体"/>
                      <w:b/>
                      <w:sz w:val="24"/>
                    </w:rPr>
                    <w:t>………………………………………</w:t>
                  </w:r>
                  <w:r>
                    <w:rPr>
                      <w:rFonts w:hint="eastAsia" w:ascii="宋体" w:hAnsi="宋体"/>
                      <w:b/>
                      <w:sz w:val="24"/>
                    </w:rPr>
                    <w:t>订</w:t>
                  </w:r>
                  <w:r>
                    <w:rPr>
                      <w:rFonts w:ascii="宋体" w:hAnsi="宋体"/>
                      <w:b/>
                      <w:sz w:val="24"/>
                    </w:rPr>
                    <w:t>……………………………</w:t>
                  </w:r>
                  <w:r>
                    <w:rPr>
                      <w:rFonts w:hint="eastAsia" w:ascii="宋体" w:hAnsi="宋体"/>
                      <w:b/>
                      <w:sz w:val="24"/>
                    </w:rPr>
                    <w:t>线</w:t>
                  </w:r>
                  <w:r>
                    <w:rPr>
                      <w:rFonts w:ascii="宋体" w:hAnsi="宋体"/>
                      <w:b/>
                      <w:sz w:val="24"/>
                    </w:rPr>
                    <w:t>………………………</w:t>
                  </w:r>
                  <w:r>
                    <w:rPr>
                      <w:rFonts w:hint="eastAsia" w:ascii="宋体" w:hAnsi="宋体"/>
                      <w:b/>
                      <w:szCs w:val="21"/>
                    </w:rPr>
                    <w:t>（装订线外请不要答题）</w:t>
                  </w:r>
                </w:p>
                <w:p/>
              </w:txbxContent>
            </v:textbox>
          </v:rect>
        </w:pict>
      </w:r>
      <w:r>
        <w:rPr>
          <w:rFonts w:hint="eastAsia"/>
          <w:b/>
          <w:sz w:val="28"/>
          <w:szCs w:val="28"/>
        </w:rPr>
        <w:t xml:space="preserve">   广州南洋理工职业学院成人教育2023级第一学期期末考试</w:t>
      </w:r>
    </w:p>
    <w:p>
      <w:pPr>
        <w:ind w:firstLine="165" w:firstLineChars="49"/>
        <w:rPr>
          <w:rFonts w:ascii="黑体" w:eastAsia="黑体"/>
          <w:b/>
          <w:w w:val="120"/>
          <w:sz w:val="28"/>
          <w:szCs w:val="28"/>
        </w:rPr>
      </w:pPr>
      <w:r>
        <w:rPr>
          <w:rFonts w:hint="eastAsia" w:ascii="黑体" w:eastAsia="黑体"/>
          <w:b/>
          <w:w w:val="120"/>
          <w:sz w:val="28"/>
          <w:szCs w:val="28"/>
        </w:rPr>
        <w:t xml:space="preserve">              </w:t>
      </w:r>
      <w:r>
        <w:rPr>
          <w:rFonts w:hint="eastAsia" w:ascii="黑体" w:eastAsia="黑体"/>
          <w:b/>
          <w:w w:val="120"/>
          <w:sz w:val="28"/>
          <w:szCs w:val="28"/>
          <w:u w:val="single"/>
        </w:rPr>
        <w:t>《形势与政策》</w:t>
      </w:r>
      <w:r>
        <w:rPr>
          <w:rFonts w:hint="eastAsia" w:ascii="黑体" w:eastAsia="黑体"/>
          <w:b/>
          <w:sz w:val="30"/>
          <w:szCs w:val="30"/>
          <w:u w:val="single"/>
        </w:rPr>
        <w:t xml:space="preserve"> </w:t>
      </w:r>
      <w:r>
        <w:rPr>
          <w:rFonts w:hint="eastAsia" w:ascii="黑体" w:eastAsia="黑体"/>
          <w:b/>
          <w:sz w:val="30"/>
          <w:szCs w:val="30"/>
        </w:rPr>
        <w:t xml:space="preserve"> A卷</w:t>
      </w:r>
    </w:p>
    <w:p>
      <w:pPr>
        <w:ind w:firstLine="103" w:firstLineChars="49"/>
      </w:pPr>
      <w:r>
        <w:rPr>
          <w:rFonts w:hint="eastAsia"/>
          <w:b/>
        </w:rPr>
        <w:t>注意事项：</w:t>
      </w:r>
      <w:r>
        <w:rPr>
          <w:rFonts w:hint="eastAsia"/>
        </w:rPr>
        <w:t>1.所有答案请直接答在试卷上；</w:t>
      </w:r>
    </w:p>
    <w:p>
      <w:r>
        <w:rPr>
          <w:rFonts w:hint="eastAsia"/>
        </w:rPr>
        <w:t xml:space="preserve">           2.考前请将密封线内容填写清楚；</w:t>
      </w:r>
    </w:p>
    <w:p>
      <w:r>
        <w:rPr>
          <w:rFonts w:hint="eastAsia"/>
        </w:rPr>
        <w:t xml:space="preserve">           3.考试形式：闭卷</w:t>
      </w:r>
    </w:p>
    <w:tbl>
      <w:tblPr>
        <w:tblStyle w:val="10"/>
        <w:tblpPr w:leftFromText="180" w:rightFromText="180" w:vertAnchor="text" w:horzAnchor="page" w:tblpX="4539" w:tblpY="88"/>
        <w:tblOverlap w:val="never"/>
        <w:tblW w:w="62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893"/>
        <w:gridCol w:w="911"/>
        <w:gridCol w:w="923"/>
        <w:gridCol w:w="974"/>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069" w:type="dxa"/>
            <w:vAlign w:val="center"/>
          </w:tcPr>
          <w:p>
            <w:pPr>
              <w:jc w:val="center"/>
              <w:rPr>
                <w:b/>
                <w:bCs/>
                <w:sz w:val="28"/>
                <w:szCs w:val="28"/>
              </w:rPr>
            </w:pPr>
            <w:r>
              <w:rPr>
                <w:rFonts w:hint="eastAsia"/>
                <w:b/>
                <w:bCs/>
                <w:sz w:val="28"/>
                <w:szCs w:val="28"/>
              </w:rPr>
              <w:t>题号</w:t>
            </w:r>
          </w:p>
        </w:tc>
        <w:tc>
          <w:tcPr>
            <w:tcW w:w="893" w:type="dxa"/>
            <w:vAlign w:val="center"/>
          </w:tcPr>
          <w:p>
            <w:pPr>
              <w:jc w:val="center"/>
              <w:rPr>
                <w:rFonts w:ascii="宋体" w:hAnsi="宋体" w:cs="宋体"/>
                <w:sz w:val="28"/>
                <w:szCs w:val="28"/>
              </w:rPr>
            </w:pPr>
            <w:r>
              <w:rPr>
                <w:rFonts w:hint="eastAsia" w:ascii="宋体" w:hAnsi="宋体" w:cs="宋体"/>
                <w:sz w:val="28"/>
                <w:szCs w:val="28"/>
              </w:rPr>
              <w:t>一</w:t>
            </w:r>
          </w:p>
        </w:tc>
        <w:tc>
          <w:tcPr>
            <w:tcW w:w="911" w:type="dxa"/>
            <w:vAlign w:val="center"/>
          </w:tcPr>
          <w:p>
            <w:pPr>
              <w:jc w:val="center"/>
              <w:rPr>
                <w:rFonts w:ascii="宋体" w:hAnsi="宋体" w:cs="宋体"/>
                <w:sz w:val="28"/>
                <w:szCs w:val="28"/>
              </w:rPr>
            </w:pPr>
            <w:r>
              <w:rPr>
                <w:rFonts w:hint="eastAsia" w:ascii="宋体" w:hAnsi="宋体" w:cs="宋体"/>
                <w:sz w:val="28"/>
                <w:szCs w:val="28"/>
              </w:rPr>
              <w:t>二</w:t>
            </w:r>
          </w:p>
        </w:tc>
        <w:tc>
          <w:tcPr>
            <w:tcW w:w="923" w:type="dxa"/>
            <w:vAlign w:val="center"/>
          </w:tcPr>
          <w:p>
            <w:pPr>
              <w:jc w:val="center"/>
              <w:rPr>
                <w:rFonts w:ascii="宋体" w:hAnsi="宋体" w:cs="宋体"/>
                <w:sz w:val="28"/>
                <w:szCs w:val="28"/>
              </w:rPr>
            </w:pPr>
            <w:r>
              <w:rPr>
                <w:rFonts w:hint="eastAsia" w:ascii="宋体" w:hAnsi="宋体" w:cs="宋体"/>
                <w:sz w:val="28"/>
                <w:szCs w:val="28"/>
              </w:rPr>
              <w:t>三</w:t>
            </w:r>
          </w:p>
        </w:tc>
        <w:tc>
          <w:tcPr>
            <w:tcW w:w="974" w:type="dxa"/>
            <w:vAlign w:val="center"/>
          </w:tcPr>
          <w:p>
            <w:pPr>
              <w:jc w:val="center"/>
              <w:rPr>
                <w:rFonts w:ascii="宋体" w:hAnsi="宋体" w:cs="宋体"/>
                <w:sz w:val="28"/>
                <w:szCs w:val="28"/>
              </w:rPr>
            </w:pPr>
            <w:r>
              <w:rPr>
                <w:rFonts w:hint="eastAsia" w:ascii="宋体" w:hAnsi="宋体" w:cs="宋体"/>
                <w:sz w:val="28"/>
                <w:szCs w:val="28"/>
              </w:rPr>
              <w:t>四</w:t>
            </w:r>
          </w:p>
        </w:tc>
        <w:tc>
          <w:tcPr>
            <w:tcW w:w="1493" w:type="dxa"/>
            <w:vAlign w:val="center"/>
          </w:tcPr>
          <w:p>
            <w:pPr>
              <w:jc w:val="center"/>
              <w:rPr>
                <w:rFonts w:ascii="宋体" w:hAnsi="宋体" w:cs="宋体"/>
                <w:sz w:val="28"/>
                <w:szCs w:val="28"/>
              </w:rPr>
            </w:pPr>
            <w:r>
              <w:rPr>
                <w:rFonts w:hint="eastAsia" w:ascii="宋体" w:hAnsi="宋体" w:cs="宋体"/>
                <w:sz w:val="28"/>
                <w:szCs w:val="28"/>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69" w:type="dxa"/>
            <w:vAlign w:val="center"/>
          </w:tcPr>
          <w:p>
            <w:pPr>
              <w:jc w:val="center"/>
              <w:rPr>
                <w:b/>
                <w:bCs/>
                <w:sz w:val="28"/>
                <w:szCs w:val="28"/>
              </w:rPr>
            </w:pPr>
            <w:r>
              <w:rPr>
                <w:rFonts w:hint="eastAsia"/>
                <w:b/>
                <w:bCs/>
                <w:sz w:val="28"/>
                <w:szCs w:val="28"/>
              </w:rPr>
              <w:t>得分</w:t>
            </w:r>
          </w:p>
        </w:tc>
        <w:tc>
          <w:tcPr>
            <w:tcW w:w="893" w:type="dxa"/>
            <w:vAlign w:val="center"/>
          </w:tcPr>
          <w:p>
            <w:pPr>
              <w:jc w:val="center"/>
              <w:rPr>
                <w:b/>
                <w:bCs/>
                <w:sz w:val="28"/>
                <w:szCs w:val="28"/>
              </w:rPr>
            </w:pPr>
          </w:p>
        </w:tc>
        <w:tc>
          <w:tcPr>
            <w:tcW w:w="911" w:type="dxa"/>
            <w:vAlign w:val="center"/>
          </w:tcPr>
          <w:p>
            <w:pPr>
              <w:jc w:val="center"/>
              <w:rPr>
                <w:b/>
                <w:bCs/>
                <w:sz w:val="28"/>
                <w:szCs w:val="28"/>
              </w:rPr>
            </w:pPr>
          </w:p>
        </w:tc>
        <w:tc>
          <w:tcPr>
            <w:tcW w:w="923" w:type="dxa"/>
            <w:vAlign w:val="center"/>
          </w:tcPr>
          <w:p>
            <w:pPr>
              <w:jc w:val="center"/>
              <w:rPr>
                <w:b/>
                <w:bCs/>
                <w:sz w:val="28"/>
                <w:szCs w:val="28"/>
              </w:rPr>
            </w:pPr>
          </w:p>
        </w:tc>
        <w:tc>
          <w:tcPr>
            <w:tcW w:w="974" w:type="dxa"/>
            <w:vAlign w:val="center"/>
          </w:tcPr>
          <w:p>
            <w:pPr>
              <w:jc w:val="center"/>
              <w:rPr>
                <w:b/>
                <w:bCs/>
                <w:sz w:val="28"/>
                <w:szCs w:val="28"/>
              </w:rPr>
            </w:pPr>
          </w:p>
        </w:tc>
        <w:tc>
          <w:tcPr>
            <w:tcW w:w="1493" w:type="dxa"/>
            <w:vAlign w:val="center"/>
          </w:tcPr>
          <w:p>
            <w:pPr>
              <w:jc w:val="center"/>
              <w:rPr>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69" w:type="dxa"/>
            <w:vAlign w:val="center"/>
          </w:tcPr>
          <w:p>
            <w:pPr>
              <w:jc w:val="center"/>
              <w:rPr>
                <w:b/>
                <w:bCs/>
                <w:sz w:val="28"/>
                <w:szCs w:val="28"/>
              </w:rPr>
            </w:pPr>
            <w:r>
              <w:rPr>
                <w:rFonts w:hint="eastAsia"/>
                <w:b/>
                <w:bCs/>
                <w:sz w:val="28"/>
                <w:szCs w:val="28"/>
              </w:rPr>
              <w:t>评卷人</w:t>
            </w:r>
          </w:p>
        </w:tc>
        <w:tc>
          <w:tcPr>
            <w:tcW w:w="893" w:type="dxa"/>
            <w:vAlign w:val="center"/>
          </w:tcPr>
          <w:p>
            <w:pPr>
              <w:jc w:val="center"/>
              <w:rPr>
                <w:b/>
                <w:bCs/>
                <w:sz w:val="28"/>
                <w:szCs w:val="28"/>
              </w:rPr>
            </w:pPr>
          </w:p>
        </w:tc>
        <w:tc>
          <w:tcPr>
            <w:tcW w:w="911" w:type="dxa"/>
            <w:vAlign w:val="center"/>
          </w:tcPr>
          <w:p>
            <w:pPr>
              <w:jc w:val="center"/>
              <w:rPr>
                <w:b/>
                <w:bCs/>
                <w:sz w:val="28"/>
                <w:szCs w:val="28"/>
              </w:rPr>
            </w:pPr>
          </w:p>
        </w:tc>
        <w:tc>
          <w:tcPr>
            <w:tcW w:w="923" w:type="dxa"/>
            <w:vAlign w:val="center"/>
          </w:tcPr>
          <w:p>
            <w:pPr>
              <w:jc w:val="center"/>
              <w:rPr>
                <w:b/>
                <w:bCs/>
                <w:sz w:val="28"/>
                <w:szCs w:val="28"/>
              </w:rPr>
            </w:pPr>
          </w:p>
        </w:tc>
        <w:tc>
          <w:tcPr>
            <w:tcW w:w="974" w:type="dxa"/>
            <w:vAlign w:val="center"/>
          </w:tcPr>
          <w:p>
            <w:pPr>
              <w:jc w:val="center"/>
              <w:rPr>
                <w:b/>
                <w:bCs/>
                <w:sz w:val="28"/>
                <w:szCs w:val="28"/>
              </w:rPr>
            </w:pPr>
          </w:p>
        </w:tc>
        <w:tc>
          <w:tcPr>
            <w:tcW w:w="1493" w:type="dxa"/>
            <w:vAlign w:val="center"/>
          </w:tcPr>
          <w:p>
            <w:pPr>
              <w:jc w:val="center"/>
              <w:rPr>
                <w:b/>
                <w:bCs/>
                <w:sz w:val="28"/>
                <w:szCs w:val="28"/>
              </w:rPr>
            </w:pPr>
          </w:p>
        </w:tc>
      </w:tr>
    </w:tbl>
    <w:p>
      <w:pPr>
        <w:rPr>
          <w:rFonts w:ascii="宋体" w:hAnsi="宋体"/>
          <w:sz w:val="24"/>
        </w:rPr>
      </w:pPr>
      <w:r>
        <w:rPr>
          <w:rFonts w:hint="eastAsia" w:ascii="宋体" w:hAnsi="宋体"/>
          <w:sz w:val="28"/>
          <w:szCs w:val="28"/>
        </w:rPr>
        <w:t xml:space="preserve">                      </w:t>
      </w:r>
    </w:p>
    <w:p>
      <w:pPr>
        <w:rPr>
          <w:rFonts w:ascii="宋体" w:hAnsi="宋体"/>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360" w:lineRule="auto"/>
        <w:rPr>
          <w:rFonts w:ascii="宋体" w:hAnsi="宋体" w:cs="宋体"/>
          <w:b/>
          <w:sz w:val="24"/>
        </w:rPr>
      </w:pPr>
      <w:r>
        <w:rPr>
          <w:rFonts w:hint="eastAsia" w:ascii="宋体" w:hAnsi="宋体" w:cs="宋体"/>
          <w:b/>
          <w:sz w:val="24"/>
        </w:rPr>
        <w:t>一、单项选择（下列选项中只有一个答案是最准确的。每小题2分，共20分）</w:t>
      </w:r>
    </w:p>
    <w:p>
      <w:pPr>
        <w:spacing w:line="360" w:lineRule="auto"/>
        <w:rPr>
          <w:sz w:val="24"/>
        </w:rPr>
      </w:pPr>
      <w:r>
        <w:rPr>
          <w:rFonts w:hint="eastAsia" w:ascii="宋体" w:hAnsi="宋体" w:cs="宋体"/>
          <w:sz w:val="24"/>
        </w:rPr>
        <w:t>1、</w:t>
      </w:r>
      <w:r>
        <w:rPr>
          <w:rFonts w:ascii="宋体" w:hAnsi="宋体" w:cs="宋体"/>
          <w:sz w:val="24"/>
        </w:rPr>
        <w:t>2021 年是中国与巴基斯坦建交 ( )周年</w:t>
      </w:r>
    </w:p>
    <w:p>
      <w:pPr>
        <w:spacing w:line="360" w:lineRule="auto"/>
        <w:ind w:firstLine="420"/>
        <w:rPr>
          <w:sz w:val="24"/>
        </w:rPr>
      </w:pPr>
      <w:r>
        <w:rPr>
          <w:rFonts w:ascii="宋体" w:hAnsi="宋体" w:cs="宋体"/>
          <w:sz w:val="24"/>
        </w:rPr>
        <w:t>A. 60</w:t>
      </w:r>
    </w:p>
    <w:p>
      <w:pPr>
        <w:spacing w:line="360" w:lineRule="auto"/>
        <w:ind w:firstLine="420"/>
        <w:rPr>
          <w:color w:val="FF0000"/>
          <w:sz w:val="24"/>
        </w:rPr>
      </w:pPr>
      <w:r>
        <w:rPr>
          <w:rFonts w:ascii="宋体" w:hAnsi="宋体" w:cs="宋体"/>
          <w:color w:val="FF0000"/>
          <w:sz w:val="24"/>
        </w:rPr>
        <w:t>B. 70</w:t>
      </w:r>
    </w:p>
    <w:p>
      <w:pPr>
        <w:spacing w:line="360" w:lineRule="auto"/>
        <w:ind w:firstLine="420"/>
        <w:rPr>
          <w:sz w:val="24"/>
        </w:rPr>
      </w:pPr>
      <w:r>
        <w:rPr>
          <w:rFonts w:ascii="宋体" w:hAnsi="宋体" w:cs="宋体"/>
          <w:sz w:val="24"/>
        </w:rPr>
        <w:t>C. 80</w:t>
      </w:r>
    </w:p>
    <w:p>
      <w:pPr>
        <w:spacing w:line="360" w:lineRule="auto"/>
        <w:ind w:firstLine="420"/>
        <w:rPr>
          <w:rFonts w:ascii="宋体" w:hAnsi="宋体" w:cs="宋体"/>
          <w:sz w:val="24"/>
        </w:rPr>
      </w:pPr>
      <w:r>
        <w:rPr>
          <w:rFonts w:ascii="宋体" w:hAnsi="宋体" w:cs="宋体"/>
          <w:sz w:val="24"/>
        </w:rPr>
        <w:t>D. 90</w:t>
      </w:r>
    </w:p>
    <w:p>
      <w:pPr>
        <w:spacing w:line="360" w:lineRule="auto"/>
        <w:rPr>
          <w:sz w:val="24"/>
        </w:rPr>
      </w:pPr>
      <w:r>
        <w:rPr>
          <w:rFonts w:hint="eastAsia" w:ascii="宋体" w:hAnsi="宋体" w:cs="宋体"/>
          <w:sz w:val="24"/>
        </w:rPr>
        <w:t>2、</w:t>
      </w:r>
      <w:r>
        <w:rPr>
          <w:rFonts w:ascii="宋体" w:hAnsi="宋体" w:cs="宋体"/>
          <w:sz w:val="24"/>
        </w:rPr>
        <w:t>新形势下两岸同胞最重要、最紧迫的任务是( ) 。</w:t>
      </w:r>
    </w:p>
    <w:p>
      <w:pPr>
        <w:spacing w:line="360" w:lineRule="auto"/>
        <w:ind w:firstLine="420"/>
        <w:rPr>
          <w:color w:val="FF0000"/>
          <w:sz w:val="24"/>
        </w:rPr>
      </w:pPr>
      <w:r>
        <w:rPr>
          <w:rFonts w:ascii="宋体" w:hAnsi="宋体" w:cs="宋体"/>
          <w:color w:val="FF0000"/>
          <w:sz w:val="24"/>
        </w:rPr>
        <w:t>A. 反对和遏制“台独”</w:t>
      </w:r>
    </w:p>
    <w:p>
      <w:pPr>
        <w:spacing w:line="360" w:lineRule="auto"/>
        <w:ind w:firstLine="420"/>
        <w:rPr>
          <w:sz w:val="24"/>
        </w:rPr>
      </w:pPr>
      <w:r>
        <w:rPr>
          <w:rFonts w:ascii="宋体" w:hAnsi="宋体" w:cs="宋体"/>
          <w:sz w:val="24"/>
        </w:rPr>
        <w:t>B. 回到“九二共识”</w:t>
      </w:r>
    </w:p>
    <w:p>
      <w:pPr>
        <w:spacing w:line="360" w:lineRule="auto"/>
        <w:ind w:firstLine="420"/>
        <w:rPr>
          <w:sz w:val="24"/>
        </w:rPr>
      </w:pPr>
      <w:r>
        <w:rPr>
          <w:rFonts w:ascii="宋体" w:hAnsi="宋体" w:cs="宋体"/>
          <w:sz w:val="24"/>
        </w:rPr>
        <w:t>C. 促进两岸政治谈判</w:t>
      </w:r>
    </w:p>
    <w:p>
      <w:pPr>
        <w:spacing w:line="360" w:lineRule="auto"/>
        <w:ind w:firstLine="420"/>
        <w:rPr>
          <w:rFonts w:ascii="宋体" w:hAnsi="宋体" w:cs="宋体"/>
          <w:sz w:val="24"/>
        </w:rPr>
      </w:pPr>
      <w:r>
        <w:rPr>
          <w:rFonts w:ascii="宋体" w:hAnsi="宋体" w:cs="宋体"/>
          <w:sz w:val="24"/>
        </w:rPr>
        <w:t>D. 推进两岸“三通”</w:t>
      </w:r>
    </w:p>
    <w:p>
      <w:pPr>
        <w:spacing w:line="360" w:lineRule="auto"/>
        <w:rPr>
          <w:sz w:val="24"/>
        </w:rPr>
      </w:pPr>
      <w:r>
        <w:rPr>
          <w:rFonts w:hint="eastAsia" w:ascii="宋体" w:hAnsi="宋体" w:cs="宋体"/>
          <w:sz w:val="24"/>
        </w:rPr>
        <w:t>3、</w:t>
      </w:r>
      <w:r>
        <w:rPr>
          <w:rFonts w:ascii="宋体" w:hAnsi="宋体" w:cs="宋体"/>
          <w:sz w:val="24"/>
        </w:rPr>
        <w:t>根据2021年11月的统计，以下各国CPI指数中，最大的是（）</w:t>
      </w:r>
    </w:p>
    <w:p>
      <w:pPr>
        <w:spacing w:line="360" w:lineRule="auto"/>
        <w:ind w:firstLine="420"/>
        <w:rPr>
          <w:sz w:val="24"/>
        </w:rPr>
      </w:pPr>
      <w:r>
        <w:rPr>
          <w:rFonts w:ascii="宋体" w:hAnsi="宋体" w:cs="宋体"/>
          <w:color w:val="FF0000"/>
          <w:sz w:val="24"/>
        </w:rPr>
        <w:t>A. 美国</w:t>
      </w:r>
    </w:p>
    <w:p>
      <w:pPr>
        <w:spacing w:line="360" w:lineRule="auto"/>
        <w:ind w:firstLine="420"/>
        <w:rPr>
          <w:sz w:val="24"/>
        </w:rPr>
      </w:pPr>
      <w:r>
        <w:rPr>
          <w:rFonts w:ascii="宋体" w:hAnsi="宋体" w:cs="宋体"/>
          <w:sz w:val="24"/>
        </w:rPr>
        <w:t>B. 英国</w:t>
      </w:r>
    </w:p>
    <w:p>
      <w:pPr>
        <w:spacing w:line="360" w:lineRule="auto"/>
        <w:ind w:firstLine="420"/>
        <w:rPr>
          <w:sz w:val="24"/>
        </w:rPr>
      </w:pPr>
      <w:r>
        <w:rPr>
          <w:rFonts w:ascii="宋体" w:hAnsi="宋体" w:cs="宋体"/>
          <w:sz w:val="24"/>
        </w:rPr>
        <w:t>C. 西班牙</w:t>
      </w:r>
    </w:p>
    <w:p>
      <w:pPr>
        <w:spacing w:line="360" w:lineRule="auto"/>
        <w:ind w:firstLine="420"/>
        <w:rPr>
          <w:rFonts w:ascii="宋体" w:hAnsi="宋体" w:cs="宋体"/>
          <w:sz w:val="24"/>
        </w:rPr>
      </w:pPr>
      <w:r>
        <w:rPr>
          <w:rFonts w:ascii="宋体" w:hAnsi="宋体" w:cs="宋体"/>
          <w:sz w:val="24"/>
        </w:rPr>
        <w:t>D. 中国</w:t>
      </w:r>
    </w:p>
    <w:p>
      <w:pPr>
        <w:spacing w:line="360" w:lineRule="auto"/>
        <w:rPr>
          <w:sz w:val="24"/>
        </w:rPr>
      </w:pPr>
      <w:r>
        <w:rPr>
          <w:rFonts w:hint="eastAsia" w:ascii="宋体" w:hAnsi="宋体" w:cs="宋体"/>
          <w:sz w:val="24"/>
        </w:rPr>
        <w:t>4、</w:t>
      </w:r>
      <w:r>
        <w:rPr>
          <w:rFonts w:ascii="宋体" w:hAnsi="宋体" w:cs="宋体"/>
          <w:sz w:val="24"/>
        </w:rPr>
        <w:t>2021年以来,随着全球新冠肺炎疫情形势好转,世界经济复苏态势显著抬头,但仍面临很多困境。下列表述不正确的是（）</w:t>
      </w:r>
    </w:p>
    <w:p>
      <w:pPr>
        <w:spacing w:line="360" w:lineRule="auto"/>
        <w:ind w:firstLine="420"/>
        <w:rPr>
          <w:color w:val="FF0000"/>
          <w:sz w:val="24"/>
        </w:rPr>
      </w:pPr>
      <w:r>
        <w:rPr>
          <w:rFonts w:ascii="宋体" w:hAnsi="宋体" w:cs="宋体"/>
          <w:color w:val="FF0000"/>
          <w:sz w:val="24"/>
        </w:rPr>
        <w:t>A. 发展中国家经济恢复明显好于发达国家</w:t>
      </w:r>
    </w:p>
    <w:p>
      <w:pPr>
        <w:spacing w:line="360" w:lineRule="auto"/>
        <w:ind w:firstLine="420"/>
        <w:rPr>
          <w:sz w:val="24"/>
        </w:rPr>
      </w:pPr>
      <w:r>
        <w:rPr>
          <w:rFonts w:ascii="宋体" w:hAnsi="宋体" w:cs="宋体"/>
          <w:sz w:val="24"/>
        </w:rPr>
        <w:t>B. 复苏分化失衡</w:t>
      </w:r>
    </w:p>
    <w:p>
      <w:pPr>
        <w:spacing w:line="360" w:lineRule="auto"/>
        <w:ind w:firstLine="420"/>
        <w:rPr>
          <w:sz w:val="24"/>
        </w:rPr>
      </w:pPr>
      <w:r>
        <w:rPr>
          <w:rFonts w:ascii="宋体" w:hAnsi="宋体" w:cs="宋体"/>
          <w:sz w:val="24"/>
        </w:rPr>
        <w:t>C. 普遍面临通货膨胀</w:t>
      </w:r>
    </w:p>
    <w:p>
      <w:pPr>
        <w:spacing w:line="360" w:lineRule="auto"/>
        <w:ind w:firstLine="420"/>
        <w:rPr>
          <w:rFonts w:ascii="宋体" w:hAnsi="宋体" w:cs="宋体"/>
          <w:sz w:val="24"/>
        </w:rPr>
      </w:pPr>
      <w:r>
        <w:rPr>
          <w:rFonts w:ascii="宋体" w:hAnsi="宋体" w:cs="宋体"/>
          <w:sz w:val="24"/>
        </w:rPr>
        <w:t>D. 供应链恢复受阻</w:t>
      </w:r>
    </w:p>
    <w:p>
      <w:pPr>
        <w:spacing w:line="360" w:lineRule="auto"/>
        <w:rPr>
          <w:sz w:val="24"/>
        </w:rPr>
      </w:pPr>
      <w:r>
        <w:rPr>
          <w:rFonts w:hint="eastAsia" w:ascii="宋体" w:hAnsi="宋体" w:cs="宋体"/>
          <w:sz w:val="24"/>
        </w:rPr>
        <w:t>5、</w:t>
      </w:r>
      <w:r>
        <w:rPr>
          <w:rFonts w:ascii="宋体" w:hAnsi="宋体" w:cs="宋体"/>
          <w:sz w:val="24"/>
        </w:rPr>
        <w:t xml:space="preserve"> 党的十八大以来，习近平总书记多次强调要坚持把（          ）作为根本任务，培养德智体美劳全面发展的社会主义建设者和接班人。</w:t>
      </w:r>
    </w:p>
    <w:p>
      <w:pPr>
        <w:spacing w:line="360" w:lineRule="auto"/>
        <w:ind w:firstLine="420"/>
        <w:rPr>
          <w:color w:val="FF0000"/>
          <w:sz w:val="24"/>
        </w:rPr>
      </w:pPr>
      <w:r>
        <w:rPr>
          <w:rFonts w:ascii="宋体" w:hAnsi="宋体" w:cs="宋体"/>
          <w:color w:val="FF0000"/>
          <w:sz w:val="24"/>
        </w:rPr>
        <w:t>A. 立德树人</w:t>
      </w:r>
    </w:p>
    <w:p>
      <w:pPr>
        <w:spacing w:line="360" w:lineRule="auto"/>
        <w:ind w:firstLine="420"/>
        <w:rPr>
          <w:sz w:val="24"/>
        </w:rPr>
      </w:pPr>
      <w:r>
        <w:rPr>
          <w:rFonts w:ascii="宋体" w:hAnsi="宋体" w:cs="宋体"/>
          <w:sz w:val="24"/>
        </w:rPr>
        <w:t>B. 为谁培养人</w:t>
      </w:r>
    </w:p>
    <w:p>
      <w:pPr>
        <w:spacing w:line="360" w:lineRule="auto"/>
        <w:ind w:firstLine="420"/>
        <w:rPr>
          <w:sz w:val="24"/>
        </w:rPr>
      </w:pPr>
      <w:r>
        <w:rPr>
          <w:rFonts w:ascii="宋体" w:hAnsi="宋体" w:cs="宋体"/>
          <w:sz w:val="24"/>
        </w:rPr>
        <w:t>C. 怎样培养人</w:t>
      </w:r>
    </w:p>
    <w:p>
      <w:pPr>
        <w:spacing w:line="360" w:lineRule="auto"/>
        <w:ind w:firstLine="420"/>
        <w:rPr>
          <w:rFonts w:ascii="宋体" w:hAnsi="宋体" w:cs="宋体"/>
          <w:sz w:val="24"/>
        </w:rPr>
      </w:pPr>
      <w:r>
        <w:rPr>
          <w:rFonts w:ascii="宋体" w:hAnsi="宋体" w:cs="宋体"/>
          <w:sz w:val="24"/>
        </w:rPr>
        <w:t>D. 培养什么人</w:t>
      </w:r>
    </w:p>
    <w:p>
      <w:pPr>
        <w:spacing w:line="360" w:lineRule="auto"/>
        <w:rPr>
          <w:sz w:val="24"/>
        </w:rPr>
      </w:pPr>
      <w:r>
        <w:rPr>
          <w:rFonts w:hint="eastAsia" w:ascii="宋体" w:hAnsi="宋体" w:cs="宋体"/>
          <w:sz w:val="24"/>
        </w:rPr>
        <w:t>6、</w:t>
      </w:r>
      <w:r>
        <w:rPr>
          <w:rFonts w:ascii="宋体" w:hAnsi="宋体" w:cs="宋体"/>
          <w:sz w:val="24"/>
        </w:rPr>
        <w:t xml:space="preserve"> 我国目前高等教育办学规模和年毕业人数已居世界首位，但规模扩张不意味着质量和效益增长，走（        ）发展道路是我国高等教育发展的必由之路。</w:t>
      </w:r>
    </w:p>
    <w:p>
      <w:pPr>
        <w:spacing w:line="360" w:lineRule="auto"/>
        <w:ind w:firstLine="420"/>
        <w:rPr>
          <w:sz w:val="24"/>
        </w:rPr>
      </w:pPr>
      <w:r>
        <w:rPr>
          <w:rFonts w:ascii="宋体" w:hAnsi="宋体" w:cs="宋体"/>
          <w:sz w:val="24"/>
        </w:rPr>
        <w:t>A. 外延式</w:t>
      </w:r>
    </w:p>
    <w:p>
      <w:pPr>
        <w:spacing w:line="360" w:lineRule="auto"/>
        <w:ind w:firstLine="420"/>
        <w:rPr>
          <w:color w:val="FF0000"/>
          <w:sz w:val="24"/>
        </w:rPr>
      </w:pPr>
      <w:r>
        <w:rPr>
          <w:rFonts w:ascii="宋体" w:hAnsi="宋体" w:cs="宋体"/>
          <w:color w:val="FF0000"/>
          <w:sz w:val="24"/>
        </w:rPr>
        <w:t>B. 内涵式</w:t>
      </w:r>
    </w:p>
    <w:p>
      <w:pPr>
        <w:spacing w:line="360" w:lineRule="auto"/>
        <w:ind w:firstLine="420"/>
        <w:rPr>
          <w:sz w:val="24"/>
        </w:rPr>
      </w:pPr>
      <w:r>
        <w:rPr>
          <w:rFonts w:ascii="宋体" w:hAnsi="宋体" w:cs="宋体"/>
          <w:sz w:val="24"/>
        </w:rPr>
        <w:t>C. 科技型</w:t>
      </w:r>
    </w:p>
    <w:p>
      <w:pPr>
        <w:spacing w:line="360" w:lineRule="auto"/>
        <w:ind w:firstLine="420"/>
        <w:rPr>
          <w:rFonts w:ascii="宋体" w:hAnsi="宋体" w:cs="宋体"/>
          <w:sz w:val="24"/>
        </w:rPr>
      </w:pPr>
      <w:r>
        <w:rPr>
          <w:rFonts w:ascii="宋体" w:hAnsi="宋体" w:cs="宋体"/>
          <w:sz w:val="24"/>
        </w:rPr>
        <w:t>D. 数字化</w:t>
      </w:r>
    </w:p>
    <w:p>
      <w:pPr>
        <w:spacing w:line="360" w:lineRule="auto"/>
        <w:rPr>
          <w:sz w:val="24"/>
        </w:rPr>
      </w:pPr>
      <w:r>
        <w:rPr>
          <w:rFonts w:hint="eastAsia" w:ascii="宋体" w:hAnsi="宋体" w:cs="宋体"/>
          <w:sz w:val="24"/>
        </w:rPr>
        <w:t>7、</w:t>
      </w:r>
      <w:r>
        <w:rPr>
          <w:rFonts w:ascii="宋体" w:hAnsi="宋体" w:cs="宋体"/>
          <w:sz w:val="24"/>
        </w:rPr>
        <w:t xml:space="preserve"> 我国办的是社会主义教育，就要坚持（       ）办学方向，坚持以人民为中心发展教育。</w:t>
      </w:r>
    </w:p>
    <w:p>
      <w:pPr>
        <w:spacing w:line="360" w:lineRule="auto"/>
        <w:ind w:firstLine="420"/>
        <w:rPr>
          <w:sz w:val="24"/>
        </w:rPr>
      </w:pPr>
      <w:r>
        <w:rPr>
          <w:rFonts w:ascii="宋体" w:hAnsi="宋体" w:cs="宋体"/>
          <w:sz w:val="24"/>
        </w:rPr>
        <w:t>A. 国际视野</w:t>
      </w:r>
    </w:p>
    <w:p>
      <w:pPr>
        <w:spacing w:line="360" w:lineRule="auto"/>
        <w:ind w:firstLine="420"/>
        <w:rPr>
          <w:sz w:val="24"/>
        </w:rPr>
      </w:pPr>
      <w:r>
        <w:rPr>
          <w:rFonts w:ascii="宋体" w:hAnsi="宋体" w:cs="宋体"/>
          <w:sz w:val="24"/>
        </w:rPr>
        <w:t>B. 全面发展</w:t>
      </w:r>
    </w:p>
    <w:p>
      <w:pPr>
        <w:spacing w:line="360" w:lineRule="auto"/>
        <w:ind w:firstLine="420"/>
        <w:rPr>
          <w:sz w:val="24"/>
        </w:rPr>
      </w:pPr>
      <w:r>
        <w:rPr>
          <w:rFonts w:ascii="宋体" w:hAnsi="宋体" w:cs="宋体"/>
          <w:sz w:val="24"/>
        </w:rPr>
        <w:t>C. 大而全</w:t>
      </w:r>
    </w:p>
    <w:p>
      <w:pPr>
        <w:spacing w:line="360" w:lineRule="auto"/>
        <w:ind w:firstLine="420"/>
        <w:rPr>
          <w:rFonts w:ascii="宋体" w:hAnsi="宋体" w:cs="宋体"/>
          <w:color w:val="FF0000"/>
          <w:sz w:val="24"/>
        </w:rPr>
      </w:pPr>
      <w:r>
        <w:rPr>
          <w:rFonts w:ascii="宋体" w:hAnsi="宋体" w:cs="宋体"/>
          <w:color w:val="FF0000"/>
          <w:sz w:val="24"/>
        </w:rPr>
        <w:t>D. 社会主义</w:t>
      </w:r>
    </w:p>
    <w:p>
      <w:pPr>
        <w:spacing w:line="360" w:lineRule="auto"/>
        <w:rPr>
          <w:sz w:val="24"/>
        </w:rPr>
      </w:pPr>
      <w:r>
        <w:rPr>
          <w:rFonts w:hint="eastAsia" w:ascii="宋体" w:hAnsi="宋体" w:cs="宋体"/>
          <w:sz w:val="24"/>
        </w:rPr>
        <w:t>8、</w:t>
      </w:r>
      <w:r>
        <w:rPr>
          <w:rFonts w:ascii="宋体" w:hAnsi="宋体" w:cs="宋体"/>
          <w:sz w:val="24"/>
        </w:rPr>
        <w:t>发展两岸关系和实现和平统一的基础是 ( ) 。</w:t>
      </w:r>
    </w:p>
    <w:p>
      <w:pPr>
        <w:spacing w:line="360" w:lineRule="auto"/>
        <w:ind w:firstLine="420"/>
        <w:rPr>
          <w:sz w:val="24"/>
        </w:rPr>
      </w:pPr>
      <w:r>
        <w:rPr>
          <w:rFonts w:ascii="宋体" w:hAnsi="宋体" w:cs="宋体"/>
          <w:sz w:val="24"/>
        </w:rPr>
        <w:t>A. 通邮、通航、通商</w:t>
      </w:r>
    </w:p>
    <w:p>
      <w:pPr>
        <w:spacing w:line="360" w:lineRule="auto"/>
        <w:ind w:firstLine="420"/>
        <w:rPr>
          <w:color w:val="FF0000"/>
          <w:sz w:val="24"/>
        </w:rPr>
      </w:pPr>
      <w:r>
        <w:rPr>
          <w:rFonts w:ascii="宋体" w:hAnsi="宋体" w:cs="宋体"/>
          <w:color w:val="FF0000"/>
          <w:sz w:val="24"/>
        </w:rPr>
        <w:t>B. 一个中国的原则</w:t>
      </w:r>
    </w:p>
    <w:p>
      <w:pPr>
        <w:spacing w:line="360" w:lineRule="auto"/>
        <w:ind w:firstLine="420"/>
        <w:rPr>
          <w:sz w:val="24"/>
        </w:rPr>
      </w:pPr>
      <w:r>
        <w:rPr>
          <w:rFonts w:ascii="宋体" w:hAnsi="宋体" w:cs="宋体"/>
          <w:sz w:val="24"/>
        </w:rPr>
        <w:t>C. 结束两岸敌对状态</w:t>
      </w:r>
    </w:p>
    <w:p>
      <w:pPr>
        <w:spacing w:line="360" w:lineRule="auto"/>
        <w:ind w:firstLine="420"/>
        <w:rPr>
          <w:rFonts w:ascii="宋体" w:hAnsi="宋体" w:cs="宋体"/>
          <w:sz w:val="24"/>
        </w:rPr>
      </w:pPr>
      <w:r>
        <w:rPr>
          <w:rFonts w:ascii="宋体" w:hAnsi="宋体" w:cs="宋体"/>
          <w:sz w:val="24"/>
        </w:rPr>
        <w:t>D. 发展两岸经贸关系</w:t>
      </w:r>
    </w:p>
    <w:p>
      <w:pPr>
        <w:spacing w:line="360" w:lineRule="auto"/>
        <w:rPr>
          <w:sz w:val="24"/>
        </w:rPr>
      </w:pPr>
      <w:r>
        <w:rPr>
          <w:rFonts w:hint="eastAsia" w:ascii="宋体" w:hAnsi="宋体" w:cs="宋体"/>
          <w:sz w:val="24"/>
        </w:rPr>
        <w:t>9、</w:t>
      </w:r>
      <w:r>
        <w:rPr>
          <w:rFonts w:ascii="宋体" w:hAnsi="宋体" w:cs="宋体"/>
          <w:sz w:val="24"/>
        </w:rPr>
        <w:t>数字经济和实体经济融合的重点领域是（）。</w:t>
      </w:r>
    </w:p>
    <w:p>
      <w:pPr>
        <w:spacing w:line="360" w:lineRule="auto"/>
        <w:ind w:firstLine="420"/>
        <w:rPr>
          <w:sz w:val="24"/>
        </w:rPr>
      </w:pPr>
      <w:r>
        <w:rPr>
          <w:rFonts w:ascii="宋体" w:hAnsi="宋体" w:cs="宋体"/>
          <w:color w:val="FF0000"/>
          <w:sz w:val="24"/>
        </w:rPr>
        <w:t>A. 制造业</w:t>
      </w:r>
    </w:p>
    <w:p>
      <w:pPr>
        <w:spacing w:line="360" w:lineRule="auto"/>
        <w:ind w:firstLine="420"/>
        <w:rPr>
          <w:sz w:val="24"/>
        </w:rPr>
      </w:pPr>
      <w:r>
        <w:rPr>
          <w:rFonts w:ascii="宋体" w:hAnsi="宋体" w:cs="宋体"/>
          <w:sz w:val="24"/>
        </w:rPr>
        <w:t>B. 食品饮料</w:t>
      </w:r>
    </w:p>
    <w:p>
      <w:pPr>
        <w:spacing w:line="360" w:lineRule="auto"/>
        <w:ind w:firstLine="420"/>
        <w:rPr>
          <w:sz w:val="24"/>
        </w:rPr>
      </w:pPr>
      <w:r>
        <w:rPr>
          <w:rFonts w:ascii="宋体" w:hAnsi="宋体" w:cs="宋体"/>
          <w:sz w:val="24"/>
        </w:rPr>
        <w:t>C. 纺织服装</w:t>
      </w:r>
    </w:p>
    <w:p>
      <w:pPr>
        <w:spacing w:line="360" w:lineRule="auto"/>
        <w:ind w:firstLine="420"/>
        <w:rPr>
          <w:rFonts w:ascii="宋体" w:hAnsi="宋体" w:cs="宋体"/>
          <w:sz w:val="24"/>
        </w:rPr>
      </w:pPr>
      <w:r>
        <w:rPr>
          <w:rFonts w:ascii="宋体" w:hAnsi="宋体" w:cs="宋体"/>
          <w:sz w:val="24"/>
        </w:rPr>
        <w:t>D. 医药</w:t>
      </w:r>
    </w:p>
    <w:p>
      <w:pPr>
        <w:spacing w:line="360" w:lineRule="auto"/>
        <w:rPr>
          <w:sz w:val="24"/>
        </w:rPr>
      </w:pPr>
      <w:r>
        <w:rPr>
          <w:rFonts w:hint="eastAsia" w:ascii="宋体" w:hAnsi="宋体" w:cs="宋体"/>
          <w:sz w:val="24"/>
        </w:rPr>
        <w:t>10、</w:t>
      </w:r>
      <w:r>
        <w:rPr>
          <w:rFonts w:ascii="宋体" w:hAnsi="宋体" w:cs="宋体"/>
          <w:sz w:val="24"/>
        </w:rPr>
        <w:t>不同于农业经济、工业经济以土地、劳动力和资本作为关键生产要素，数字经济的最鲜明的特点在于以（）作为关键生产要素。</w:t>
      </w:r>
    </w:p>
    <w:p>
      <w:pPr>
        <w:spacing w:line="360" w:lineRule="auto"/>
        <w:ind w:firstLine="420"/>
        <w:rPr>
          <w:sz w:val="24"/>
        </w:rPr>
      </w:pPr>
      <w:r>
        <w:rPr>
          <w:rFonts w:ascii="宋体" w:hAnsi="宋体" w:cs="宋体"/>
          <w:sz w:val="24"/>
        </w:rPr>
        <w:t>A. 信息</w:t>
      </w:r>
    </w:p>
    <w:p>
      <w:pPr>
        <w:spacing w:line="360" w:lineRule="auto"/>
        <w:ind w:firstLine="420"/>
        <w:rPr>
          <w:sz w:val="24"/>
        </w:rPr>
      </w:pPr>
      <w:r>
        <w:rPr>
          <w:rFonts w:ascii="宋体" w:hAnsi="宋体" w:cs="宋体"/>
          <w:color w:val="FF0000"/>
          <w:sz w:val="24"/>
        </w:rPr>
        <w:t>B. 数据</w:t>
      </w:r>
    </w:p>
    <w:p>
      <w:pPr>
        <w:spacing w:line="360" w:lineRule="auto"/>
        <w:ind w:firstLine="420"/>
        <w:rPr>
          <w:sz w:val="24"/>
        </w:rPr>
      </w:pPr>
      <w:r>
        <w:rPr>
          <w:rFonts w:ascii="宋体" w:hAnsi="宋体" w:cs="宋体"/>
          <w:sz w:val="24"/>
        </w:rPr>
        <w:t>C. 技术</w:t>
      </w:r>
    </w:p>
    <w:p>
      <w:pPr>
        <w:spacing w:line="360" w:lineRule="auto"/>
        <w:ind w:firstLine="420"/>
      </w:pPr>
      <w:r>
        <w:rPr>
          <w:rFonts w:ascii="宋体" w:hAnsi="宋体" w:cs="宋体"/>
          <w:sz w:val="24"/>
        </w:rPr>
        <w:t>D. 知识</w:t>
      </w:r>
    </w:p>
    <w:p>
      <w:pPr>
        <w:spacing w:line="360" w:lineRule="auto"/>
        <w:ind w:firstLine="420"/>
        <w:rPr>
          <w:rFonts w:ascii="宋体" w:hAnsi="宋体" w:cs="宋体"/>
          <w:sz w:val="24"/>
        </w:rPr>
      </w:pPr>
    </w:p>
    <w:p>
      <w:pPr>
        <w:spacing w:line="360" w:lineRule="auto"/>
        <w:jc w:val="left"/>
      </w:pPr>
      <w:r>
        <w:rPr>
          <w:rFonts w:hint="eastAsia" w:ascii="宋体" w:hAnsi="宋体" w:cs="宋体"/>
          <w:b/>
          <w:sz w:val="24"/>
        </w:rPr>
        <w:t>二、多选题（每小题4分，共20分）</w:t>
      </w:r>
    </w:p>
    <w:p>
      <w:pPr>
        <w:spacing w:line="360" w:lineRule="auto"/>
        <w:rPr>
          <w:rFonts w:ascii="宋体" w:hAnsi="宋体" w:cs="宋体"/>
          <w:sz w:val="24"/>
        </w:rPr>
      </w:pPr>
      <w:r>
        <w:rPr>
          <w:rFonts w:hint="eastAsia" w:ascii="宋体" w:hAnsi="宋体" w:cs="宋体"/>
          <w:sz w:val="24"/>
        </w:rPr>
        <w:t>1、</w:t>
      </w:r>
      <w:r>
        <w:rPr>
          <w:rFonts w:ascii="宋体" w:hAnsi="宋体" w:cs="宋体"/>
          <w:sz w:val="24"/>
        </w:rPr>
        <w:t>习近平总书记教育重要论述的内容体系中提到全面发展是指（      ）</w:t>
      </w:r>
      <w:r>
        <w:rPr>
          <w:rFonts w:hint="eastAsia" w:ascii="宋体" w:hAnsi="宋体" w:cs="宋体"/>
          <w:sz w:val="24"/>
        </w:rPr>
        <w:t>、</w:t>
      </w:r>
      <w:r>
        <w:rPr>
          <w:rFonts w:ascii="宋体" w:hAnsi="宋体" w:cs="宋体"/>
          <w:sz w:val="24"/>
        </w:rPr>
        <w:t>（      ）</w:t>
      </w:r>
      <w:r>
        <w:rPr>
          <w:rFonts w:hint="eastAsia" w:ascii="宋体" w:hAnsi="宋体" w:cs="宋体"/>
          <w:sz w:val="24"/>
        </w:rPr>
        <w:t>、</w:t>
      </w:r>
      <w:r>
        <w:rPr>
          <w:rFonts w:ascii="宋体" w:hAnsi="宋体" w:cs="宋体"/>
          <w:sz w:val="24"/>
        </w:rPr>
        <w:t>（      ）</w:t>
      </w:r>
      <w:r>
        <w:rPr>
          <w:rFonts w:hint="eastAsia" w:ascii="宋体" w:hAnsi="宋体" w:cs="宋体"/>
          <w:sz w:val="24"/>
        </w:rPr>
        <w:t>、</w:t>
      </w:r>
      <w:r>
        <w:rPr>
          <w:rFonts w:ascii="宋体" w:hAnsi="宋体" w:cs="宋体"/>
          <w:sz w:val="24"/>
        </w:rPr>
        <w:t>（      ）和“劳”，特别重视劳动教育的时代价值。</w:t>
      </w:r>
    </w:p>
    <w:p>
      <w:pPr>
        <w:spacing w:line="360" w:lineRule="auto"/>
        <w:ind w:firstLine="420"/>
        <w:rPr>
          <w:color w:val="FF0000"/>
          <w:sz w:val="24"/>
        </w:rPr>
      </w:pPr>
      <w:r>
        <w:rPr>
          <w:rFonts w:ascii="宋体" w:hAnsi="宋体" w:cs="宋体"/>
          <w:color w:val="FF0000"/>
          <w:sz w:val="24"/>
        </w:rPr>
        <w:t>A. 德</w:t>
      </w:r>
    </w:p>
    <w:p>
      <w:pPr>
        <w:spacing w:line="360" w:lineRule="auto"/>
        <w:ind w:firstLine="420"/>
        <w:rPr>
          <w:color w:val="FF0000"/>
          <w:sz w:val="24"/>
        </w:rPr>
      </w:pPr>
      <w:r>
        <w:rPr>
          <w:rFonts w:ascii="宋体" w:hAnsi="宋体" w:cs="宋体"/>
          <w:color w:val="FF0000"/>
          <w:sz w:val="24"/>
        </w:rPr>
        <w:t>B. 智</w:t>
      </w:r>
    </w:p>
    <w:p>
      <w:pPr>
        <w:spacing w:line="360" w:lineRule="auto"/>
        <w:ind w:firstLine="420"/>
        <w:rPr>
          <w:color w:val="FF0000"/>
          <w:sz w:val="24"/>
        </w:rPr>
      </w:pPr>
      <w:r>
        <w:rPr>
          <w:rFonts w:ascii="宋体" w:hAnsi="宋体" w:cs="宋体"/>
          <w:color w:val="FF0000"/>
          <w:sz w:val="24"/>
        </w:rPr>
        <w:t>C. 体</w:t>
      </w:r>
    </w:p>
    <w:p>
      <w:pPr>
        <w:spacing w:line="360" w:lineRule="auto"/>
        <w:ind w:firstLine="420"/>
        <w:rPr>
          <w:rFonts w:ascii="宋体" w:hAnsi="宋体" w:cs="宋体"/>
          <w:color w:val="FF0000"/>
          <w:sz w:val="24"/>
        </w:rPr>
      </w:pPr>
      <w:r>
        <w:rPr>
          <w:rFonts w:ascii="宋体" w:hAnsi="宋体" w:cs="宋体"/>
          <w:color w:val="FF0000"/>
          <w:sz w:val="24"/>
        </w:rPr>
        <w:t>D. 美</w:t>
      </w:r>
    </w:p>
    <w:p>
      <w:pPr>
        <w:spacing w:line="360" w:lineRule="auto"/>
        <w:rPr>
          <w:rFonts w:ascii="宋体" w:hAnsi="宋体" w:cs="宋体"/>
          <w:sz w:val="24"/>
        </w:rPr>
      </w:pPr>
      <w:r>
        <w:rPr>
          <w:rFonts w:hint="eastAsia" w:ascii="宋体" w:hAnsi="宋体" w:cs="宋体"/>
          <w:sz w:val="24"/>
        </w:rPr>
        <w:t>2、2020年8月20日，习近平总书记在扎实推进长三角一体化发展座谈会上强调，要深刻认识长三角区域在国家经济社会发展中的地位和作用，结合长三角一体化发展面临</w:t>
      </w:r>
      <w:r>
        <w:rPr>
          <w:rFonts w:ascii="宋体" w:hAnsi="宋体" w:cs="宋体"/>
          <w:sz w:val="24"/>
        </w:rPr>
        <w:t>（      ）</w:t>
      </w:r>
      <w:r>
        <w:rPr>
          <w:rFonts w:hint="eastAsia" w:ascii="宋体" w:hAnsi="宋体" w:cs="宋体"/>
          <w:sz w:val="24"/>
        </w:rPr>
        <w:t>，坚持</w:t>
      </w:r>
      <w:r>
        <w:rPr>
          <w:rFonts w:ascii="宋体" w:hAnsi="宋体" w:cs="宋体"/>
          <w:sz w:val="24"/>
        </w:rPr>
        <w:t>（      ）</w:t>
      </w:r>
      <w:r>
        <w:rPr>
          <w:rFonts w:hint="eastAsia" w:ascii="宋体" w:hAnsi="宋体" w:cs="宋体"/>
          <w:sz w:val="24"/>
        </w:rPr>
        <w:t>相统一，紧扣</w:t>
      </w:r>
      <w:r>
        <w:rPr>
          <w:rFonts w:ascii="宋体" w:hAnsi="宋体" w:cs="宋体"/>
          <w:sz w:val="24"/>
        </w:rPr>
        <w:t>（      ）</w:t>
      </w:r>
      <w:r>
        <w:rPr>
          <w:rFonts w:hint="eastAsia" w:ascii="宋体" w:hAnsi="宋体" w:cs="宋体"/>
          <w:sz w:val="24"/>
        </w:rPr>
        <w:t>和</w:t>
      </w:r>
      <w:r>
        <w:rPr>
          <w:rFonts w:ascii="宋体" w:hAnsi="宋体" w:cs="宋体"/>
          <w:sz w:val="24"/>
        </w:rPr>
        <w:t>（      ）</w:t>
      </w:r>
      <w:r>
        <w:rPr>
          <w:rFonts w:hint="eastAsia" w:ascii="宋体" w:hAnsi="宋体" w:cs="宋体"/>
          <w:sz w:val="24"/>
        </w:rPr>
        <w:t>两个关键词抓好重点工作，真抓实干，埋头苦干，推动长三角一体化发展不断取得成效。</w:t>
      </w:r>
    </w:p>
    <w:p>
      <w:pPr>
        <w:numPr>
          <w:ilvl w:val="0"/>
          <w:numId w:val="1"/>
        </w:numPr>
        <w:spacing w:line="360" w:lineRule="auto"/>
        <w:rPr>
          <w:color w:val="FF0000"/>
          <w:sz w:val="24"/>
        </w:rPr>
      </w:pPr>
      <w:r>
        <w:rPr>
          <w:rFonts w:hint="eastAsia"/>
          <w:color w:val="FF0000"/>
          <w:sz w:val="24"/>
        </w:rPr>
        <w:t>新形势新要求</w:t>
      </w:r>
    </w:p>
    <w:p>
      <w:pPr>
        <w:spacing w:line="360" w:lineRule="auto"/>
        <w:ind w:firstLine="420"/>
        <w:rPr>
          <w:color w:val="FF0000"/>
          <w:sz w:val="24"/>
        </w:rPr>
      </w:pPr>
      <w:r>
        <w:rPr>
          <w:rFonts w:ascii="宋体" w:hAnsi="宋体" w:cs="宋体"/>
          <w:color w:val="FF0000"/>
          <w:sz w:val="24"/>
        </w:rPr>
        <w:t xml:space="preserve">B. </w:t>
      </w:r>
      <w:r>
        <w:rPr>
          <w:rFonts w:hint="eastAsia" w:ascii="宋体" w:hAnsi="宋体" w:cs="宋体"/>
          <w:color w:val="FF0000"/>
          <w:sz w:val="24"/>
        </w:rPr>
        <w:t>目标导向、问题导向</w:t>
      </w:r>
    </w:p>
    <w:p>
      <w:pPr>
        <w:spacing w:line="360" w:lineRule="auto"/>
        <w:ind w:firstLine="420"/>
        <w:rPr>
          <w:color w:val="FF0000"/>
          <w:sz w:val="24"/>
        </w:rPr>
      </w:pPr>
      <w:r>
        <w:rPr>
          <w:rFonts w:ascii="宋体" w:hAnsi="宋体" w:cs="宋体"/>
          <w:color w:val="FF0000"/>
          <w:sz w:val="24"/>
        </w:rPr>
        <w:t xml:space="preserve">C. </w:t>
      </w:r>
      <w:r>
        <w:rPr>
          <w:rFonts w:hint="eastAsia" w:ascii="宋体" w:hAnsi="宋体" w:cs="宋体"/>
          <w:color w:val="FF0000"/>
          <w:sz w:val="24"/>
        </w:rPr>
        <w:t>一体化</w:t>
      </w:r>
    </w:p>
    <w:p>
      <w:pPr>
        <w:spacing w:line="360" w:lineRule="auto"/>
        <w:ind w:firstLine="420"/>
        <w:rPr>
          <w:rFonts w:ascii="宋体" w:hAnsi="宋体" w:cs="宋体"/>
          <w:color w:val="FF0000"/>
          <w:sz w:val="24"/>
        </w:rPr>
      </w:pPr>
      <w:r>
        <w:rPr>
          <w:rFonts w:ascii="宋体" w:hAnsi="宋体" w:cs="宋体"/>
          <w:color w:val="FF0000"/>
          <w:sz w:val="24"/>
        </w:rPr>
        <w:t xml:space="preserve">D. </w:t>
      </w:r>
      <w:r>
        <w:rPr>
          <w:rFonts w:hint="eastAsia" w:ascii="宋体" w:hAnsi="宋体" w:cs="宋体"/>
          <w:color w:val="FF0000"/>
          <w:sz w:val="24"/>
        </w:rPr>
        <w:t>高质量</w:t>
      </w:r>
    </w:p>
    <w:p>
      <w:pPr>
        <w:spacing w:line="360" w:lineRule="auto"/>
        <w:rPr>
          <w:sz w:val="24"/>
        </w:rPr>
      </w:pPr>
      <w:r>
        <w:rPr>
          <w:rFonts w:hint="eastAsia" w:ascii="宋体" w:hAnsi="宋体" w:cs="宋体"/>
          <w:sz w:val="24"/>
        </w:rPr>
        <w:t>3、</w:t>
      </w:r>
      <w:r>
        <w:rPr>
          <w:rFonts w:ascii="宋体" w:hAnsi="宋体" w:cs="宋体"/>
          <w:sz w:val="24"/>
        </w:rPr>
        <w:t>《反分裂国家法》这部法律的颁布具有重要意义,下面对《反分裂国家法》判断正确的是(</w:t>
      </w:r>
      <w:r>
        <w:rPr>
          <w:rFonts w:hint="eastAsia" w:ascii="宋体" w:hAnsi="宋体" w:cs="宋体"/>
          <w:sz w:val="24"/>
        </w:rPr>
        <w:t xml:space="preserve">     </w:t>
      </w:r>
      <w:r>
        <w:rPr>
          <w:rFonts w:ascii="宋体" w:hAnsi="宋体" w:cs="宋体"/>
          <w:sz w:val="24"/>
        </w:rPr>
        <w:t xml:space="preserve"> )</w:t>
      </w:r>
    </w:p>
    <w:p>
      <w:pPr>
        <w:spacing w:line="360" w:lineRule="auto"/>
        <w:ind w:firstLine="420"/>
        <w:rPr>
          <w:color w:val="FF0000"/>
          <w:sz w:val="24"/>
        </w:rPr>
      </w:pPr>
      <w:r>
        <w:rPr>
          <w:rFonts w:ascii="宋体" w:hAnsi="宋体" w:cs="宋体"/>
          <w:color w:val="FF0000"/>
          <w:sz w:val="24"/>
        </w:rPr>
        <w:t>A. 表明了全国人民捍卫国家主权和领土完整的共同意志和坚强决心</w:t>
      </w:r>
    </w:p>
    <w:p>
      <w:pPr>
        <w:spacing w:line="360" w:lineRule="auto"/>
        <w:ind w:firstLine="420"/>
        <w:rPr>
          <w:color w:val="FF0000"/>
          <w:sz w:val="24"/>
        </w:rPr>
      </w:pPr>
      <w:r>
        <w:rPr>
          <w:rFonts w:ascii="宋体" w:hAnsi="宋体" w:cs="宋体"/>
          <w:color w:val="FF0000"/>
          <w:sz w:val="24"/>
        </w:rPr>
        <w:t>B. 是一部争取和平解决台湾问题、实现祖国和平统一的法律</w:t>
      </w:r>
    </w:p>
    <w:p>
      <w:pPr>
        <w:spacing w:line="360" w:lineRule="auto"/>
        <w:ind w:firstLine="420"/>
        <w:rPr>
          <w:color w:val="FF0000"/>
          <w:sz w:val="24"/>
        </w:rPr>
      </w:pPr>
      <w:r>
        <w:rPr>
          <w:rFonts w:ascii="宋体" w:hAnsi="宋体" w:cs="宋体"/>
          <w:color w:val="FF0000"/>
          <w:sz w:val="24"/>
        </w:rPr>
        <w:t>C. 促进两岸直接“三通”,保护台湾同胞的正当权益,有利于维护台湾的和平与稳定</w:t>
      </w:r>
    </w:p>
    <w:p>
      <w:pPr>
        <w:spacing w:line="360" w:lineRule="auto"/>
        <w:ind w:firstLine="420"/>
        <w:rPr>
          <w:color w:val="FF0000"/>
          <w:sz w:val="24"/>
        </w:rPr>
      </w:pPr>
      <w:r>
        <w:rPr>
          <w:rFonts w:ascii="宋体" w:hAnsi="宋体" w:cs="宋体"/>
          <w:color w:val="FF0000"/>
          <w:sz w:val="24"/>
        </w:rPr>
        <w:t>D. 把反对和遏制“台独”势力分裂活动的工作放在了比较突出的位置</w:t>
      </w:r>
    </w:p>
    <w:p>
      <w:pPr>
        <w:spacing w:line="360" w:lineRule="auto"/>
        <w:rPr>
          <w:sz w:val="24"/>
        </w:rPr>
      </w:pPr>
      <w:r>
        <w:rPr>
          <w:rFonts w:hint="eastAsia" w:ascii="宋体" w:hAnsi="宋体" w:cs="宋体"/>
          <w:sz w:val="24"/>
        </w:rPr>
        <w:t>4、</w:t>
      </w:r>
      <w:r>
        <w:rPr>
          <w:rFonts w:ascii="宋体" w:hAnsi="宋体" w:cs="宋体"/>
          <w:sz w:val="24"/>
        </w:rPr>
        <w:t>提振世界经济的中国能力,源于中国着眼长远、协调全球健康发展的魄力,以下哪些是正确的?</w:t>
      </w:r>
    </w:p>
    <w:p>
      <w:pPr>
        <w:spacing w:line="360" w:lineRule="auto"/>
        <w:ind w:firstLine="420"/>
        <w:rPr>
          <w:color w:val="FF0000"/>
          <w:sz w:val="24"/>
        </w:rPr>
      </w:pPr>
      <w:r>
        <w:rPr>
          <w:rFonts w:ascii="宋体" w:hAnsi="宋体" w:cs="宋体"/>
          <w:color w:val="FF0000"/>
          <w:sz w:val="24"/>
        </w:rPr>
        <w:t>A. 始终保持连续稳定的宏观政策,避免“大水漫灌”</w:t>
      </w:r>
    </w:p>
    <w:p>
      <w:pPr>
        <w:spacing w:line="360" w:lineRule="auto"/>
        <w:ind w:firstLine="420"/>
        <w:rPr>
          <w:color w:val="FF0000"/>
          <w:sz w:val="24"/>
        </w:rPr>
      </w:pPr>
      <w:r>
        <w:rPr>
          <w:rFonts w:ascii="宋体" w:hAnsi="宋体" w:cs="宋体"/>
          <w:color w:val="FF0000"/>
          <w:sz w:val="24"/>
        </w:rPr>
        <w:t>B. 强化供需双向调节,组织多批次国家储备投放</w:t>
      </w:r>
    </w:p>
    <w:p>
      <w:pPr>
        <w:spacing w:line="360" w:lineRule="auto"/>
        <w:ind w:firstLine="420"/>
        <w:rPr>
          <w:color w:val="FF0000"/>
          <w:sz w:val="24"/>
        </w:rPr>
      </w:pPr>
      <w:r>
        <w:rPr>
          <w:rFonts w:ascii="宋体" w:hAnsi="宋体" w:cs="宋体"/>
          <w:color w:val="FF0000"/>
          <w:sz w:val="24"/>
        </w:rPr>
        <w:t>C. 加强市场监管,遏制过度投机炒作</w:t>
      </w:r>
    </w:p>
    <w:p>
      <w:pPr>
        <w:spacing w:line="360" w:lineRule="auto"/>
        <w:ind w:firstLine="420"/>
        <w:rPr>
          <w:color w:val="FF0000"/>
          <w:sz w:val="24"/>
        </w:rPr>
      </w:pPr>
      <w:r>
        <w:rPr>
          <w:rFonts w:ascii="宋体" w:hAnsi="宋体" w:cs="宋体"/>
          <w:color w:val="FF0000"/>
          <w:sz w:val="24"/>
        </w:rPr>
        <w:t>D. 做好预期管理,研究和适时出台部分惠企政策到期后的接续政策</w:t>
      </w:r>
    </w:p>
    <w:p>
      <w:pPr>
        <w:spacing w:line="360" w:lineRule="auto"/>
        <w:rPr>
          <w:sz w:val="24"/>
        </w:rPr>
      </w:pPr>
      <w:r>
        <w:rPr>
          <w:rFonts w:hint="eastAsia" w:ascii="宋体" w:hAnsi="宋体" w:cs="宋体"/>
          <w:sz w:val="24"/>
        </w:rPr>
        <w:t>5、</w:t>
      </w:r>
      <w:r>
        <w:rPr>
          <w:rFonts w:ascii="宋体" w:hAnsi="宋体" w:cs="宋体"/>
          <w:sz w:val="24"/>
        </w:rPr>
        <w:t>2021年,全球经济复苏进程中出现多方面结构性失衡,主要表现为(    )</w:t>
      </w:r>
    </w:p>
    <w:p>
      <w:pPr>
        <w:spacing w:line="360" w:lineRule="auto"/>
        <w:ind w:firstLine="420"/>
        <w:rPr>
          <w:sz w:val="24"/>
        </w:rPr>
      </w:pPr>
      <w:r>
        <w:rPr>
          <w:rFonts w:ascii="宋体" w:hAnsi="宋体" w:cs="宋体"/>
          <w:sz w:val="24"/>
        </w:rPr>
        <w:t>A. 供给恢复慢于需求恢复</w:t>
      </w:r>
    </w:p>
    <w:p>
      <w:pPr>
        <w:spacing w:line="360" w:lineRule="auto"/>
        <w:ind w:firstLine="420"/>
        <w:rPr>
          <w:sz w:val="24"/>
        </w:rPr>
      </w:pPr>
      <w:r>
        <w:rPr>
          <w:rFonts w:ascii="宋体" w:hAnsi="宋体" w:cs="宋体"/>
          <w:sz w:val="24"/>
        </w:rPr>
        <w:t>B. 服务业恢复明显滞后于工业</w:t>
      </w:r>
    </w:p>
    <w:p>
      <w:pPr>
        <w:spacing w:line="360" w:lineRule="auto"/>
        <w:ind w:firstLine="420"/>
        <w:rPr>
          <w:sz w:val="24"/>
        </w:rPr>
      </w:pPr>
      <w:r>
        <w:rPr>
          <w:rFonts w:ascii="宋体" w:hAnsi="宋体" w:cs="宋体"/>
          <w:sz w:val="24"/>
        </w:rPr>
        <w:t>C. 就业恢复慢于产出</w:t>
      </w:r>
    </w:p>
    <w:p>
      <w:pPr>
        <w:spacing w:line="360" w:lineRule="auto"/>
        <w:ind w:firstLine="420"/>
        <w:rPr>
          <w:sz w:val="24"/>
        </w:rPr>
      </w:pPr>
      <w:r>
        <w:rPr>
          <w:rFonts w:ascii="宋体" w:hAnsi="宋体" w:cs="宋体"/>
          <w:sz w:val="24"/>
        </w:rPr>
        <w:t>D. 需求恢复慢于供给恢复</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三、论述题（每题60分，共60分）</w:t>
      </w:r>
    </w:p>
    <w:p>
      <w:pPr>
        <w:spacing w:line="360" w:lineRule="auto"/>
        <w:rPr>
          <w:rFonts w:ascii="宋体" w:hAnsi="宋体" w:cs="宋体"/>
          <w:sz w:val="24"/>
        </w:rPr>
      </w:pPr>
      <w:r>
        <w:rPr>
          <w:rFonts w:hint="eastAsia" w:ascii="宋体" w:hAnsi="宋体" w:cs="宋体"/>
          <w:sz w:val="24"/>
        </w:rPr>
        <w:t>1、根据相关理论，结合你的理解，谈谈应该如果看待全面建设小康社会取得的决定性成就及其意义。</w:t>
      </w:r>
    </w:p>
    <w:p>
      <w:pPr>
        <w:spacing w:line="360" w:lineRule="auto"/>
        <w:rPr>
          <w:rFonts w:hint="eastAsia" w:ascii="宋体" w:hAnsi="宋体" w:cs="宋体"/>
          <w:color w:val="FF0000"/>
          <w:sz w:val="24"/>
        </w:rPr>
      </w:pPr>
      <w:r>
        <w:rPr>
          <w:rFonts w:hint="eastAsia" w:ascii="宋体" w:hAnsi="宋体" w:cs="宋体"/>
          <w:color w:val="FF0000"/>
          <w:sz w:val="24"/>
        </w:rPr>
        <w:t>全面建成小康社会是中国特色社会主义事业的重要目标之一，是实现中华民族伟大复兴的重要里程碑。全面建成小康社会的意义不仅仅是经济建设方面的进步，还体现了中国特色社会主义制度、文化价值观等多个方面的全面发展</w:t>
      </w:r>
    </w:p>
    <w:p>
      <w:pPr>
        <w:spacing w:line="360" w:lineRule="auto"/>
        <w:rPr>
          <w:rFonts w:hint="eastAsia" w:ascii="宋体" w:hAnsi="宋体" w:cs="宋体"/>
          <w:color w:val="FF0000"/>
          <w:sz w:val="24"/>
        </w:rPr>
      </w:pPr>
      <w:r>
        <w:rPr>
          <w:rFonts w:hint="eastAsia" w:ascii="宋体" w:hAnsi="宋体" w:cs="宋体"/>
          <w:color w:val="FF0000"/>
          <w:sz w:val="24"/>
        </w:rPr>
        <w:t>1.经济意义</w:t>
      </w:r>
    </w:p>
    <w:p>
      <w:pPr>
        <w:spacing w:line="360" w:lineRule="auto"/>
        <w:rPr>
          <w:rFonts w:hint="eastAsia" w:ascii="宋体" w:hAnsi="宋体" w:cs="宋体"/>
          <w:color w:val="FF0000"/>
          <w:sz w:val="24"/>
        </w:rPr>
      </w:pPr>
      <w:r>
        <w:rPr>
          <w:rFonts w:hint="eastAsia" w:ascii="宋体" w:hAnsi="宋体" w:cs="宋体"/>
          <w:color w:val="FF0000"/>
          <w:sz w:val="24"/>
        </w:rPr>
        <w:t>全面建成小康社会意味着中国经济实现了历史性跨越，从经济总量人均收入、财政收入、货币供应量等多个方面都实现了历史性的突破。这为中国经济进一步发展提供了坚实的基础，同时也为中国在国际舞台上的地位提升提供了有力支撑</w:t>
      </w:r>
    </w:p>
    <w:p>
      <w:pPr>
        <w:spacing w:line="360" w:lineRule="auto"/>
        <w:rPr>
          <w:rFonts w:hint="eastAsia" w:ascii="宋体" w:hAnsi="宋体" w:cs="宋体"/>
          <w:color w:val="FF0000"/>
          <w:sz w:val="24"/>
        </w:rPr>
      </w:pPr>
      <w:r>
        <w:rPr>
          <w:rFonts w:hint="eastAsia" w:ascii="宋体" w:hAnsi="宋体" w:cs="宋体"/>
          <w:color w:val="FF0000"/>
          <w:sz w:val="24"/>
        </w:rPr>
        <w:t>2.社会意义</w:t>
      </w:r>
    </w:p>
    <w:p>
      <w:pPr>
        <w:spacing w:line="360" w:lineRule="auto"/>
        <w:rPr>
          <w:rFonts w:hint="eastAsia" w:ascii="宋体" w:hAnsi="宋体" w:cs="宋体"/>
          <w:color w:val="FF0000"/>
          <w:sz w:val="24"/>
        </w:rPr>
      </w:pPr>
      <w:r>
        <w:rPr>
          <w:rFonts w:hint="eastAsia" w:ascii="宋体" w:hAnsi="宋体" w:cs="宋体"/>
          <w:color w:val="FF0000"/>
          <w:sz w:val="24"/>
        </w:rPr>
        <w:t>全面建成小康社会意味着中国社会实现了历史性的进步，人民生活水平得到了显著提高。这是中国特色社会主义制度优越性的体现也是中国特色社会主义价值观在全社会的广泛传播和深入人心的体现。</w:t>
      </w:r>
    </w:p>
    <w:p>
      <w:pPr>
        <w:spacing w:line="360" w:lineRule="auto"/>
        <w:rPr>
          <w:rFonts w:hint="eastAsia" w:ascii="宋体" w:hAnsi="宋体" w:cs="宋体"/>
          <w:color w:val="FF0000"/>
          <w:sz w:val="24"/>
        </w:rPr>
      </w:pPr>
      <w:r>
        <w:rPr>
          <w:rFonts w:hint="eastAsia" w:ascii="宋体" w:hAnsi="宋体" w:cs="宋体"/>
          <w:color w:val="FF0000"/>
          <w:sz w:val="24"/>
        </w:rPr>
        <w:t>3.政治意义</w:t>
      </w:r>
    </w:p>
    <w:p>
      <w:pPr>
        <w:spacing w:line="360" w:lineRule="auto"/>
        <w:rPr>
          <w:rFonts w:hint="eastAsia" w:ascii="宋体" w:hAnsi="宋体" w:cs="宋体"/>
          <w:color w:val="FF0000"/>
          <w:sz w:val="24"/>
        </w:rPr>
      </w:pPr>
      <w:r>
        <w:rPr>
          <w:rFonts w:hint="eastAsia" w:ascii="宋体" w:hAnsi="宋体" w:cs="宋体"/>
          <w:color w:val="FF0000"/>
          <w:sz w:val="24"/>
        </w:rPr>
        <w:t>全面建成小康社会是中国特色社会主义事业的重要目标之一，也是实现中华民族伟大复兴的重要里程碑。这标志着中国特色社会主义制度在全国范围内得到了充分的验证和认可，同时也为中国特色社会主义事业的全面深入发展奠定了坚实的基础</w:t>
      </w:r>
    </w:p>
    <w:p>
      <w:pPr>
        <w:spacing w:line="360" w:lineRule="auto"/>
        <w:rPr>
          <w:rFonts w:hint="eastAsia" w:ascii="宋体" w:hAnsi="宋体" w:cs="宋体"/>
          <w:color w:val="FF0000"/>
          <w:sz w:val="24"/>
        </w:rPr>
      </w:pPr>
      <w:r>
        <w:rPr>
          <w:rFonts w:hint="eastAsia" w:ascii="宋体" w:hAnsi="宋体" w:cs="宋体"/>
          <w:color w:val="FF0000"/>
          <w:sz w:val="24"/>
        </w:rPr>
        <w:t>4.文化意义</w:t>
      </w:r>
    </w:p>
    <w:p>
      <w:pPr>
        <w:spacing w:line="360" w:lineRule="auto"/>
        <w:rPr>
          <w:rFonts w:hint="eastAsia" w:ascii="宋体" w:hAnsi="宋体" w:cs="宋体"/>
          <w:color w:val="FF0000"/>
          <w:sz w:val="24"/>
        </w:rPr>
      </w:pPr>
      <w:r>
        <w:rPr>
          <w:rFonts w:hint="eastAsia" w:ascii="宋体" w:hAnsi="宋体" w:cs="宋体"/>
          <w:color w:val="FF0000"/>
          <w:sz w:val="24"/>
        </w:rPr>
        <w:t>全面建成小康社会是中国特色社会主义事业全面发展的重要标志在实现经济快速发展的同时，我们也需要注重文化建设，推动中国传统文化和现代文化的融合，培养具有创新精神和国际竞争力的人才，不断提升文化软实力，让中国文化在国际社会中发挥更加积极的作用。</w:t>
      </w:r>
    </w:p>
    <w:p>
      <w:pPr>
        <w:spacing w:line="360" w:lineRule="auto"/>
        <w:rPr>
          <w:rFonts w:hint="eastAsia" w:ascii="宋体" w:hAnsi="宋体" w:cs="宋体"/>
          <w:color w:val="FF0000"/>
          <w:sz w:val="24"/>
        </w:rPr>
      </w:pPr>
      <w:r>
        <w:rPr>
          <w:rFonts w:hint="eastAsia" w:ascii="宋体" w:hAnsi="宋体" w:cs="宋体"/>
          <w:color w:val="FF0000"/>
          <w:sz w:val="24"/>
        </w:rPr>
        <w:t>5.生态意义</w:t>
      </w:r>
    </w:p>
    <w:p>
      <w:pPr>
        <w:spacing w:line="360" w:lineRule="auto"/>
        <w:rPr>
          <w:rFonts w:hint="eastAsia" w:ascii="宋体" w:hAnsi="宋体" w:cs="宋体"/>
          <w:color w:val="FF0000"/>
          <w:sz w:val="24"/>
        </w:rPr>
      </w:pPr>
      <w:r>
        <w:rPr>
          <w:rFonts w:hint="eastAsia" w:ascii="宋体" w:hAnsi="宋体" w:cs="宋体"/>
          <w:color w:val="FF0000"/>
          <w:sz w:val="24"/>
        </w:rPr>
        <w:t>全面建成小康社会是中国特色社会主义事业全面发展的重要标志。我们需要注重生态建设，推动经济社会与生态环境相协调发展，加强生态文明建设，推动生态文明建设与经济社会发展协调发展，让中国的生态环境变得更加美好.</w:t>
      </w:r>
    </w:p>
    <w:p>
      <w:pPr>
        <w:spacing w:line="360" w:lineRule="auto"/>
        <w:rPr>
          <w:rFonts w:hint="eastAsia" w:ascii="宋体" w:hAnsi="宋体" w:cs="宋体"/>
          <w:color w:val="FF0000"/>
          <w:sz w:val="24"/>
        </w:rPr>
      </w:pPr>
      <w:r>
        <w:rPr>
          <w:rFonts w:hint="eastAsia" w:ascii="宋体" w:hAnsi="宋体" w:cs="宋体"/>
          <w:color w:val="FF0000"/>
          <w:sz w:val="24"/>
        </w:rPr>
        <w:t>全面建成小康社会是中国特色社会主义事业的重要目标之一，也是实现中华民族伟大复兴的重要里程碑。全面建成小康社会的意义不仅仅是经济建设方面的进步，还体现了中国特色社会主义制度、文化、价值观等多个方面的全面发展。我们需要继续发扬中国特色社会主义精神，坚定不移地走中国特色社会主义道路，为全面建成小康社会而努力奋斗!</w:t>
      </w:r>
      <w:bookmarkStart w:id="0" w:name="_GoBack"/>
      <w:bookmarkEnd w:id="0"/>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sectPr>
      <w:headerReference r:id="rId3" w:type="default"/>
      <w:footerReference r:id="rId4" w:type="default"/>
      <w:pgSz w:w="23814" w:h="16840" w:orient="landscape"/>
      <w:pgMar w:top="1418" w:right="1418" w:bottom="1418" w:left="1418" w:header="851" w:footer="992" w:gutter="2268"/>
      <w:cols w:space="425" w:num="2" w:sep="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7200" w:firstLineChars="4000"/>
    </w:pPr>
    <w:r>
      <w:rPr>
        <w:rFonts w:hint="eastAsia"/>
      </w:rPr>
      <w:t>《形势与政策》试卷 共</w:t>
    </w:r>
    <w:r>
      <w:fldChar w:fldCharType="begin"/>
    </w:r>
    <w:r>
      <w:rPr>
        <w:rStyle w:val="12"/>
      </w:rPr>
      <w:instrText xml:space="preserve"> NUMPAGES </w:instrText>
    </w:r>
    <w:r>
      <w:fldChar w:fldCharType="separate"/>
    </w:r>
    <w:r>
      <w:rPr>
        <w:rStyle w:val="12"/>
      </w:rPr>
      <w:t>3</w:t>
    </w:r>
    <w:r>
      <w:fldChar w:fldCharType="end"/>
    </w:r>
    <w:r>
      <w:rPr>
        <w:rFonts w:hint="eastAsia"/>
      </w:rPr>
      <w:t>页第</w:t>
    </w:r>
    <w:r>
      <w:fldChar w:fldCharType="begin"/>
    </w:r>
    <w:r>
      <w:rPr>
        <w:rStyle w:val="12"/>
      </w:rPr>
      <w:instrText xml:space="preserve"> PAGE </w:instrText>
    </w:r>
    <w:r>
      <w:fldChar w:fldCharType="separate"/>
    </w:r>
    <w:r>
      <w:rPr>
        <w:rStyle w:val="12"/>
      </w:rPr>
      <w:t>1</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A5AC05"/>
    <w:multiLevelType w:val="singleLevel"/>
    <w:tmpl w:val="3BA5AC05"/>
    <w:lvl w:ilvl="0" w:tentative="0">
      <w:start w:val="1"/>
      <w:numFmt w:val="upperLetter"/>
      <w:suff w:val="space"/>
      <w:lvlText w:val="%1."/>
      <w:lvlJc w:val="left"/>
      <w:pPr>
        <w:ind w:left="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HorizontalSpacing w:val="105"/>
  <w:drawingGridVerticalSpacing w:val="317"/>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WMyNGI3NDk5YjgxYmFmNDdmZDBkNTA4OGFhNWJiMDYifQ=="/>
  </w:docVars>
  <w:rsids>
    <w:rsidRoot w:val="00172A27"/>
    <w:rsid w:val="000050FD"/>
    <w:rsid w:val="000630C7"/>
    <w:rsid w:val="00065BE6"/>
    <w:rsid w:val="0008616F"/>
    <w:rsid w:val="000A39EF"/>
    <w:rsid w:val="000A7810"/>
    <w:rsid w:val="000B3075"/>
    <w:rsid w:val="000D4C15"/>
    <w:rsid w:val="000E1544"/>
    <w:rsid w:val="00103235"/>
    <w:rsid w:val="001054E9"/>
    <w:rsid w:val="00106CC0"/>
    <w:rsid w:val="00107FDA"/>
    <w:rsid w:val="00117072"/>
    <w:rsid w:val="00120BC9"/>
    <w:rsid w:val="0012730E"/>
    <w:rsid w:val="001322BE"/>
    <w:rsid w:val="00132603"/>
    <w:rsid w:val="0015785E"/>
    <w:rsid w:val="001664D5"/>
    <w:rsid w:val="00172A27"/>
    <w:rsid w:val="001744D8"/>
    <w:rsid w:val="001810D8"/>
    <w:rsid w:val="001931E1"/>
    <w:rsid w:val="001946C3"/>
    <w:rsid w:val="00196839"/>
    <w:rsid w:val="001A250A"/>
    <w:rsid w:val="001B5A16"/>
    <w:rsid w:val="001E6668"/>
    <w:rsid w:val="002142AD"/>
    <w:rsid w:val="00215DD8"/>
    <w:rsid w:val="00224C71"/>
    <w:rsid w:val="00225DA7"/>
    <w:rsid w:val="002333E3"/>
    <w:rsid w:val="002423CA"/>
    <w:rsid w:val="00254A40"/>
    <w:rsid w:val="002567D2"/>
    <w:rsid w:val="00262582"/>
    <w:rsid w:val="0027282C"/>
    <w:rsid w:val="002770FF"/>
    <w:rsid w:val="00290A9C"/>
    <w:rsid w:val="002A1529"/>
    <w:rsid w:val="002A577A"/>
    <w:rsid w:val="002B3640"/>
    <w:rsid w:val="002B4A95"/>
    <w:rsid w:val="002B5031"/>
    <w:rsid w:val="002E0EE5"/>
    <w:rsid w:val="002E5457"/>
    <w:rsid w:val="002F3BD7"/>
    <w:rsid w:val="002F5048"/>
    <w:rsid w:val="002F6727"/>
    <w:rsid w:val="00307F51"/>
    <w:rsid w:val="00310D49"/>
    <w:rsid w:val="00311398"/>
    <w:rsid w:val="003118AC"/>
    <w:rsid w:val="00316022"/>
    <w:rsid w:val="0033129D"/>
    <w:rsid w:val="00350A4B"/>
    <w:rsid w:val="003516B3"/>
    <w:rsid w:val="00354738"/>
    <w:rsid w:val="00362FF1"/>
    <w:rsid w:val="00381209"/>
    <w:rsid w:val="003850D8"/>
    <w:rsid w:val="00386254"/>
    <w:rsid w:val="003A5237"/>
    <w:rsid w:val="003A6F44"/>
    <w:rsid w:val="003C2383"/>
    <w:rsid w:val="003C711B"/>
    <w:rsid w:val="003F2A5E"/>
    <w:rsid w:val="00424BE0"/>
    <w:rsid w:val="004518B4"/>
    <w:rsid w:val="00464F82"/>
    <w:rsid w:val="00482597"/>
    <w:rsid w:val="004844A9"/>
    <w:rsid w:val="004A1AE1"/>
    <w:rsid w:val="004A7063"/>
    <w:rsid w:val="004B1FE3"/>
    <w:rsid w:val="004B7643"/>
    <w:rsid w:val="004C2D5F"/>
    <w:rsid w:val="004C301D"/>
    <w:rsid w:val="004C50C4"/>
    <w:rsid w:val="004C5962"/>
    <w:rsid w:val="004D1DAD"/>
    <w:rsid w:val="004D2891"/>
    <w:rsid w:val="005038E5"/>
    <w:rsid w:val="00521E2E"/>
    <w:rsid w:val="0052588C"/>
    <w:rsid w:val="005418EE"/>
    <w:rsid w:val="00543D82"/>
    <w:rsid w:val="00544F88"/>
    <w:rsid w:val="005542EC"/>
    <w:rsid w:val="005627F3"/>
    <w:rsid w:val="00580FD0"/>
    <w:rsid w:val="00596FF3"/>
    <w:rsid w:val="005C0A30"/>
    <w:rsid w:val="005D692B"/>
    <w:rsid w:val="005E1326"/>
    <w:rsid w:val="005F0249"/>
    <w:rsid w:val="005F5DE3"/>
    <w:rsid w:val="00601838"/>
    <w:rsid w:val="00620794"/>
    <w:rsid w:val="00622C59"/>
    <w:rsid w:val="00637B03"/>
    <w:rsid w:val="00642D53"/>
    <w:rsid w:val="00670FE6"/>
    <w:rsid w:val="006773D4"/>
    <w:rsid w:val="0068515A"/>
    <w:rsid w:val="006911F3"/>
    <w:rsid w:val="00693997"/>
    <w:rsid w:val="00694372"/>
    <w:rsid w:val="006A208C"/>
    <w:rsid w:val="006A282D"/>
    <w:rsid w:val="006B0445"/>
    <w:rsid w:val="006B0BE0"/>
    <w:rsid w:val="006C38D0"/>
    <w:rsid w:val="006C38F8"/>
    <w:rsid w:val="00701A26"/>
    <w:rsid w:val="007055D1"/>
    <w:rsid w:val="00770847"/>
    <w:rsid w:val="007716B5"/>
    <w:rsid w:val="007A0B36"/>
    <w:rsid w:val="007A6FE6"/>
    <w:rsid w:val="007A7A23"/>
    <w:rsid w:val="007D6E0E"/>
    <w:rsid w:val="00810FC8"/>
    <w:rsid w:val="008132AE"/>
    <w:rsid w:val="008265C0"/>
    <w:rsid w:val="0082708B"/>
    <w:rsid w:val="008310BF"/>
    <w:rsid w:val="0084131F"/>
    <w:rsid w:val="00853C1D"/>
    <w:rsid w:val="008834E4"/>
    <w:rsid w:val="008B0BA9"/>
    <w:rsid w:val="008B54E1"/>
    <w:rsid w:val="008B641D"/>
    <w:rsid w:val="008C10E2"/>
    <w:rsid w:val="008D2791"/>
    <w:rsid w:val="008D5348"/>
    <w:rsid w:val="00916AB4"/>
    <w:rsid w:val="00936686"/>
    <w:rsid w:val="009633DA"/>
    <w:rsid w:val="00975E74"/>
    <w:rsid w:val="00980247"/>
    <w:rsid w:val="00980FF3"/>
    <w:rsid w:val="009873C0"/>
    <w:rsid w:val="009A0D6B"/>
    <w:rsid w:val="009A4B3A"/>
    <w:rsid w:val="009B2C1B"/>
    <w:rsid w:val="009C0CBA"/>
    <w:rsid w:val="009F176B"/>
    <w:rsid w:val="009F6995"/>
    <w:rsid w:val="00A06929"/>
    <w:rsid w:val="00A16E3B"/>
    <w:rsid w:val="00A17131"/>
    <w:rsid w:val="00A37623"/>
    <w:rsid w:val="00A412AC"/>
    <w:rsid w:val="00A43650"/>
    <w:rsid w:val="00A446F9"/>
    <w:rsid w:val="00A930EF"/>
    <w:rsid w:val="00A950ED"/>
    <w:rsid w:val="00AA208C"/>
    <w:rsid w:val="00AA5BD5"/>
    <w:rsid w:val="00AC7550"/>
    <w:rsid w:val="00AD4AC5"/>
    <w:rsid w:val="00AE5919"/>
    <w:rsid w:val="00AE68A4"/>
    <w:rsid w:val="00AF0486"/>
    <w:rsid w:val="00B01EB2"/>
    <w:rsid w:val="00B30D5B"/>
    <w:rsid w:val="00B32B78"/>
    <w:rsid w:val="00B4666C"/>
    <w:rsid w:val="00B53237"/>
    <w:rsid w:val="00B6491F"/>
    <w:rsid w:val="00B7620A"/>
    <w:rsid w:val="00B85AF6"/>
    <w:rsid w:val="00B85BED"/>
    <w:rsid w:val="00B9114A"/>
    <w:rsid w:val="00B9340F"/>
    <w:rsid w:val="00B9665B"/>
    <w:rsid w:val="00BB0A10"/>
    <w:rsid w:val="00BB5699"/>
    <w:rsid w:val="00BC5E70"/>
    <w:rsid w:val="00BE47D8"/>
    <w:rsid w:val="00BE5D19"/>
    <w:rsid w:val="00BF76F5"/>
    <w:rsid w:val="00C207B3"/>
    <w:rsid w:val="00C35A43"/>
    <w:rsid w:val="00C360F9"/>
    <w:rsid w:val="00C41543"/>
    <w:rsid w:val="00C63EC5"/>
    <w:rsid w:val="00C80EF3"/>
    <w:rsid w:val="00C83258"/>
    <w:rsid w:val="00CA3BE0"/>
    <w:rsid w:val="00CC114C"/>
    <w:rsid w:val="00CC1897"/>
    <w:rsid w:val="00CC1D96"/>
    <w:rsid w:val="00CC61B1"/>
    <w:rsid w:val="00CD75B4"/>
    <w:rsid w:val="00CE5386"/>
    <w:rsid w:val="00CF09DF"/>
    <w:rsid w:val="00CF3612"/>
    <w:rsid w:val="00CF3FB5"/>
    <w:rsid w:val="00CF50B9"/>
    <w:rsid w:val="00CF5CC7"/>
    <w:rsid w:val="00CF7A01"/>
    <w:rsid w:val="00D07EDC"/>
    <w:rsid w:val="00D16083"/>
    <w:rsid w:val="00D163C9"/>
    <w:rsid w:val="00D1762D"/>
    <w:rsid w:val="00D22CF6"/>
    <w:rsid w:val="00D31472"/>
    <w:rsid w:val="00D504B0"/>
    <w:rsid w:val="00D604C0"/>
    <w:rsid w:val="00D63B06"/>
    <w:rsid w:val="00D71653"/>
    <w:rsid w:val="00D86F1D"/>
    <w:rsid w:val="00D90715"/>
    <w:rsid w:val="00D93A3F"/>
    <w:rsid w:val="00D96030"/>
    <w:rsid w:val="00DA4A6C"/>
    <w:rsid w:val="00DA5917"/>
    <w:rsid w:val="00DA610C"/>
    <w:rsid w:val="00DB3899"/>
    <w:rsid w:val="00DC37B7"/>
    <w:rsid w:val="00DC66DC"/>
    <w:rsid w:val="00DE1078"/>
    <w:rsid w:val="00DE1858"/>
    <w:rsid w:val="00DE5270"/>
    <w:rsid w:val="00DF2AAE"/>
    <w:rsid w:val="00DF3249"/>
    <w:rsid w:val="00DF3CFC"/>
    <w:rsid w:val="00DF6ED4"/>
    <w:rsid w:val="00E02CFC"/>
    <w:rsid w:val="00E07327"/>
    <w:rsid w:val="00E14FB1"/>
    <w:rsid w:val="00E2338E"/>
    <w:rsid w:val="00E56B77"/>
    <w:rsid w:val="00E57686"/>
    <w:rsid w:val="00EA1077"/>
    <w:rsid w:val="00EA2797"/>
    <w:rsid w:val="00EA29FE"/>
    <w:rsid w:val="00EB090C"/>
    <w:rsid w:val="00EB2E1F"/>
    <w:rsid w:val="00EB3185"/>
    <w:rsid w:val="00EB3750"/>
    <w:rsid w:val="00EC3D8F"/>
    <w:rsid w:val="00EC5E52"/>
    <w:rsid w:val="00ED2CA4"/>
    <w:rsid w:val="00F0392F"/>
    <w:rsid w:val="00F06582"/>
    <w:rsid w:val="00F07CF6"/>
    <w:rsid w:val="00F12B37"/>
    <w:rsid w:val="00F177BC"/>
    <w:rsid w:val="00F3001D"/>
    <w:rsid w:val="00F42529"/>
    <w:rsid w:val="00F80A0A"/>
    <w:rsid w:val="00F850EC"/>
    <w:rsid w:val="00FE7045"/>
    <w:rsid w:val="01766892"/>
    <w:rsid w:val="01ED3D41"/>
    <w:rsid w:val="02965E75"/>
    <w:rsid w:val="02BD19CE"/>
    <w:rsid w:val="02FF3DBF"/>
    <w:rsid w:val="088A7F5F"/>
    <w:rsid w:val="08CD1979"/>
    <w:rsid w:val="09463444"/>
    <w:rsid w:val="0B4E3D3D"/>
    <w:rsid w:val="0C3E33A6"/>
    <w:rsid w:val="11E9090C"/>
    <w:rsid w:val="15B61ABE"/>
    <w:rsid w:val="16630CF6"/>
    <w:rsid w:val="1A6A2EB7"/>
    <w:rsid w:val="1BAB226E"/>
    <w:rsid w:val="252C0416"/>
    <w:rsid w:val="265C671E"/>
    <w:rsid w:val="283A3A13"/>
    <w:rsid w:val="28AB4A44"/>
    <w:rsid w:val="2BB30A39"/>
    <w:rsid w:val="2DF67FF6"/>
    <w:rsid w:val="2E254102"/>
    <w:rsid w:val="2F88401C"/>
    <w:rsid w:val="2FFF2FB3"/>
    <w:rsid w:val="326522D2"/>
    <w:rsid w:val="37EE6F1C"/>
    <w:rsid w:val="381A45AC"/>
    <w:rsid w:val="391952AE"/>
    <w:rsid w:val="39CF5FE7"/>
    <w:rsid w:val="3BB309D8"/>
    <w:rsid w:val="3DED2B57"/>
    <w:rsid w:val="3E322BB2"/>
    <w:rsid w:val="3FC86885"/>
    <w:rsid w:val="4487268D"/>
    <w:rsid w:val="46DB33BA"/>
    <w:rsid w:val="480F3A01"/>
    <w:rsid w:val="499F0DB5"/>
    <w:rsid w:val="4F9214BC"/>
    <w:rsid w:val="4FD86DCF"/>
    <w:rsid w:val="513F1213"/>
    <w:rsid w:val="54E47CA0"/>
    <w:rsid w:val="55900510"/>
    <w:rsid w:val="56067F14"/>
    <w:rsid w:val="566A2753"/>
    <w:rsid w:val="56A73E80"/>
    <w:rsid w:val="571819DE"/>
    <w:rsid w:val="576F1DC6"/>
    <w:rsid w:val="584677F7"/>
    <w:rsid w:val="5A2F75A6"/>
    <w:rsid w:val="5A7D6ED9"/>
    <w:rsid w:val="5E3A43BF"/>
    <w:rsid w:val="5E9F255F"/>
    <w:rsid w:val="5EC71085"/>
    <w:rsid w:val="5FE03FD9"/>
    <w:rsid w:val="5FED7792"/>
    <w:rsid w:val="60CA365D"/>
    <w:rsid w:val="61D95752"/>
    <w:rsid w:val="62D831C7"/>
    <w:rsid w:val="635425E3"/>
    <w:rsid w:val="65084669"/>
    <w:rsid w:val="656A1DF2"/>
    <w:rsid w:val="65D906AC"/>
    <w:rsid w:val="660D2EAF"/>
    <w:rsid w:val="674A02D9"/>
    <w:rsid w:val="679E4652"/>
    <w:rsid w:val="6B013B1C"/>
    <w:rsid w:val="6BC10951"/>
    <w:rsid w:val="6BC31FC7"/>
    <w:rsid w:val="6CC07A20"/>
    <w:rsid w:val="6DA8572B"/>
    <w:rsid w:val="736B1858"/>
    <w:rsid w:val="738E58CA"/>
    <w:rsid w:val="73D14120"/>
    <w:rsid w:val="744B11A9"/>
    <w:rsid w:val="7496778A"/>
    <w:rsid w:val="782B431F"/>
    <w:rsid w:val="793268CA"/>
    <w:rsid w:val="7EFA5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Document Map"/>
    <w:basedOn w:val="1"/>
    <w:link w:val="14"/>
    <w:qFormat/>
    <w:uiPriority w:val="0"/>
    <w:rPr>
      <w:rFonts w:ascii="宋体"/>
      <w:sz w:val="18"/>
      <w:szCs w:val="18"/>
    </w:rPr>
  </w:style>
  <w:style w:type="paragraph" w:styleId="3">
    <w:name w:val="annotation text"/>
    <w:basedOn w:val="1"/>
    <w:qFormat/>
    <w:uiPriority w:val="0"/>
    <w:pPr>
      <w:jc w:val="left"/>
    </w:pPr>
  </w:style>
  <w:style w:type="paragraph" w:styleId="4">
    <w:name w:val="Body Text"/>
    <w:basedOn w:val="1"/>
    <w:qFormat/>
    <w:uiPriority w:val="0"/>
    <w:rPr>
      <w:sz w:val="24"/>
      <w:szCs w:val="18"/>
    </w:rPr>
  </w:style>
  <w:style w:type="paragraph" w:styleId="5">
    <w:name w:val="Plain Text"/>
    <w:basedOn w:val="1"/>
    <w:qFormat/>
    <w:uiPriority w:val="0"/>
    <w:rPr>
      <w:rFonts w:ascii="宋体" w:hAnsi="Courier New"/>
      <w:szCs w:val="20"/>
    </w:rPr>
  </w:style>
  <w:style w:type="paragraph" w:styleId="6">
    <w:name w:val="Balloon Text"/>
    <w:basedOn w:val="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rPr>
      <w:sz w:val="24"/>
    </w:rPr>
  </w:style>
  <w:style w:type="character" w:styleId="12">
    <w:name w:val="page number"/>
    <w:basedOn w:val="11"/>
    <w:qFormat/>
    <w:uiPriority w:val="0"/>
  </w:style>
  <w:style w:type="character" w:styleId="13">
    <w:name w:val="annotation reference"/>
    <w:qFormat/>
    <w:uiPriority w:val="0"/>
    <w:rPr>
      <w:sz w:val="21"/>
      <w:szCs w:val="21"/>
    </w:rPr>
  </w:style>
  <w:style w:type="character" w:customStyle="1" w:styleId="14">
    <w:name w:val="文档结构图 Char"/>
    <w:link w:val="2"/>
    <w:qFormat/>
    <w:uiPriority w:val="0"/>
    <w:rPr>
      <w:rFonts w:ascii="宋体"/>
      <w:kern w:val="2"/>
      <w:sz w:val="18"/>
      <w:szCs w:val="18"/>
    </w:rPr>
  </w:style>
  <w:style w:type="paragraph" w:customStyle="1" w:styleId="15">
    <w:name w:val="Body text|2"/>
    <w:basedOn w:val="1"/>
    <w:qFormat/>
    <w:uiPriority w:val="0"/>
    <w:rPr>
      <w:rFonts w:ascii="宋体" w:hAnsi="宋体" w:cs="宋体"/>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nb</Company>
  <Pages>3</Pages>
  <Words>275</Words>
  <Characters>1570</Characters>
  <Lines>13</Lines>
  <Paragraphs>3</Paragraphs>
  <TotalTime>28</TotalTime>
  <ScaleCrop>false</ScaleCrop>
  <LinksUpToDate>false</LinksUpToDate>
  <CharactersWithSpaces>1842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2014-12-24T01:20:00Z</dcterms:created>
  <dc:creator>lyh</dc:creator>
  <cp:lastModifiedBy>Ling</cp:lastModifiedBy>
  <dcterms:modified xsi:type="dcterms:W3CDTF">2023-07-21T05:17:19Z</dcterms:modified>
  <dc:title>南 博 职 业 技 术 学 院 期 末 考 试 试 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6A1334F48C8E4C668FBDC2A74AC0C26B</vt:lpwstr>
  </property>
</Properties>
</file>