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cs="Times New Roman"/>
        </w:rPr>
      </w:pPr>
      <w:r>
        <w:rPr>
          <w:rFonts w:hint="eastAsia" w:ascii="隶书" w:eastAsia="隶书"/>
          <w:b w:val="0"/>
          <w:sz w:val="32"/>
        </w:rPr>
        <w:t>经济法学概论答案</w:t>
      </w:r>
    </w:p>
    <w:p>
      <w:pPr>
        <w:snapToGrid w:val="0"/>
        <w:spacing w:line="240" w:lineRule="auto"/>
        <w:ind w:firstLine="0" w:firstLineChars="0"/>
        <w:outlineLvl w:val="0"/>
        <w:rPr>
          <w:rFonts w:cs="宋体"/>
          <w:b/>
          <w:bCs/>
        </w:rPr>
      </w:pPr>
      <w:r>
        <w:rPr>
          <w:rFonts w:hint="eastAsia" w:cs="宋体"/>
          <w:b/>
          <w:bCs/>
        </w:rPr>
        <w:t>一、单项选择题：</w:t>
      </w:r>
    </w:p>
    <w:p>
      <w:pPr>
        <w:snapToGrid w:val="0"/>
        <w:spacing w:line="240" w:lineRule="auto"/>
        <w:ind w:left="0" w:leftChars="0" w:firstLine="0" w:firstLineChars="0"/>
        <w:rPr>
          <w:rFonts w:cs="宋体"/>
        </w:rPr>
      </w:pPr>
      <w:r>
        <w:rPr>
          <w:rFonts w:cs="宋体"/>
        </w:rPr>
        <w:t>1</w:t>
      </w:r>
      <w:r>
        <w:rPr>
          <w:rFonts w:hint="eastAsia" w:cs="宋体"/>
          <w:lang w:val="en-US" w:eastAsia="zh-CN"/>
        </w:rPr>
        <w:t>-5：</w:t>
      </w:r>
      <w:r>
        <w:rPr>
          <w:rFonts w:cs="宋体"/>
        </w:rPr>
        <w:t>C</w:t>
      </w:r>
      <w:r>
        <w:rPr>
          <w:rFonts w:hint="eastAsia" w:cs="宋体"/>
          <w:lang w:val="en-US" w:eastAsia="zh-CN"/>
        </w:rPr>
        <w:t>BDDD    6-10：ACCAB    11-15：CCDDB</w:t>
      </w:r>
      <w:r>
        <w:rPr>
          <w:rFonts w:cs="宋体"/>
        </w:rPr>
        <w:t xml:space="preserve">   </w:t>
      </w:r>
    </w:p>
    <w:p>
      <w:pPr>
        <w:snapToGrid w:val="0"/>
        <w:spacing w:line="240" w:lineRule="auto"/>
        <w:ind w:firstLine="0" w:firstLineChars="0"/>
        <w:outlineLvl w:val="0"/>
        <w:rPr>
          <w:rFonts w:cs="宋体"/>
          <w:b/>
          <w:bCs/>
        </w:rPr>
      </w:pPr>
      <w:r>
        <w:rPr>
          <w:rFonts w:hint="eastAsia" w:cs="宋体"/>
          <w:b/>
          <w:bCs/>
        </w:rPr>
        <w:t>二、多项选择题：</w:t>
      </w:r>
    </w:p>
    <w:p>
      <w:pPr>
        <w:ind w:left="0" w:leftChars="0" w:firstLine="0" w:firstLineChars="0"/>
        <w:rPr>
          <w:rFonts w:cs="宋体"/>
        </w:rPr>
      </w:pPr>
      <w:r>
        <w:rPr>
          <w:rFonts w:cs="宋体"/>
        </w:rPr>
        <w:t xml:space="preserve">1.ABD      2.ABC       3.ABC      4.ABCD      5.BCD </w:t>
      </w:r>
    </w:p>
    <w:p>
      <w:pPr>
        <w:snapToGrid w:val="0"/>
        <w:spacing w:line="240" w:lineRule="auto"/>
        <w:ind w:firstLine="0" w:firstLineChars="0"/>
        <w:outlineLvl w:val="0"/>
        <w:rPr>
          <w:rFonts w:cs="宋体"/>
          <w:b/>
          <w:bCs/>
        </w:rPr>
      </w:pPr>
    </w:p>
    <w:p>
      <w:pPr>
        <w:snapToGrid w:val="0"/>
        <w:spacing w:line="240" w:lineRule="auto"/>
        <w:ind w:firstLine="0" w:firstLineChars="0"/>
        <w:outlineLvl w:val="0"/>
        <w:rPr>
          <w:rFonts w:cs="宋体"/>
          <w:b/>
          <w:bCs/>
        </w:rPr>
      </w:pPr>
      <w:r>
        <w:rPr>
          <w:rFonts w:hint="eastAsia" w:cs="宋体"/>
          <w:b/>
          <w:bCs/>
        </w:rPr>
        <w:t>三、判断题：</w:t>
      </w:r>
    </w:p>
    <w:p>
      <w:pPr>
        <w:ind w:left="0" w:leftChars="0" w:firstLine="0" w:firstLineChars="0"/>
        <w:rPr>
          <w:rFonts w:hint="eastAsia"/>
        </w:rPr>
      </w:pPr>
      <w:r>
        <w:rPr>
          <w:rFonts w:cs="宋体"/>
        </w:rPr>
        <w:t>1</w:t>
      </w:r>
      <w:r>
        <w:t>.</w:t>
      </w:r>
      <w:r>
        <w:rPr>
          <w:rFonts w:hint="eastAsia"/>
        </w:rPr>
        <w:t>√</w:t>
      </w:r>
      <w:r>
        <w:rPr>
          <w:rFonts w:cs="宋体"/>
        </w:rPr>
        <w:t xml:space="preserve">    2</w:t>
      </w:r>
      <w:r>
        <w:t>.</w:t>
      </w:r>
      <w:r>
        <w:rPr>
          <w:rFonts w:hint="eastAsia"/>
        </w:rPr>
        <w:t>√</w:t>
      </w:r>
      <w:r>
        <w:rPr>
          <w:rFonts w:cs="宋体"/>
        </w:rPr>
        <w:t xml:space="preserve">    3</w:t>
      </w:r>
      <w:r>
        <w:t>.</w:t>
      </w:r>
      <w:r>
        <w:rPr>
          <w:rFonts w:hint="eastAsia"/>
        </w:rPr>
        <w:t>√</w:t>
      </w:r>
      <w:r>
        <w:rPr>
          <w:rFonts w:cs="宋体"/>
        </w:rPr>
        <w:t xml:space="preserve">    4</w:t>
      </w:r>
      <w:r>
        <w:t>.</w:t>
      </w:r>
      <w:r>
        <w:rPr>
          <w:rFonts w:hint="eastAsia"/>
        </w:rPr>
        <w:t>√</w:t>
      </w:r>
      <w:r>
        <w:rPr>
          <w:rFonts w:cs="宋体"/>
        </w:rPr>
        <w:t xml:space="preserve">    5.</w:t>
      </w:r>
      <w:r>
        <w:rPr>
          <w:rFonts w:hint="eastAsia"/>
        </w:rPr>
        <w:t>×</w:t>
      </w:r>
      <w:r>
        <w:t xml:space="preserve">  </w:t>
      </w:r>
      <w:r>
        <w:rPr>
          <w:rFonts w:cs="宋体"/>
        </w:rPr>
        <w:t xml:space="preserve">  6</w:t>
      </w:r>
      <w:r>
        <w:t>.</w:t>
      </w:r>
      <w:r>
        <w:rPr>
          <w:rFonts w:hint="eastAsia"/>
        </w:rPr>
        <w:t>√</w:t>
      </w:r>
      <w:r>
        <w:t xml:space="preserve">  </w:t>
      </w:r>
      <w:r>
        <w:rPr>
          <w:rFonts w:cs="宋体"/>
        </w:rPr>
        <w:t xml:space="preserve">  7.</w:t>
      </w:r>
      <w:r>
        <w:rPr>
          <w:rFonts w:hint="eastAsia"/>
        </w:rPr>
        <w:t>×</w:t>
      </w:r>
      <w:r>
        <w:rPr>
          <w:rFonts w:cs="宋体"/>
        </w:rPr>
        <w:t xml:space="preserve">    8</w:t>
      </w:r>
      <w:r>
        <w:t>.</w:t>
      </w:r>
      <w:r>
        <w:rPr>
          <w:rFonts w:hint="eastAsia"/>
        </w:rPr>
        <w:t>√</w:t>
      </w:r>
      <w:r>
        <w:rPr>
          <w:rFonts w:cs="宋体"/>
        </w:rPr>
        <w:t xml:space="preserve">     9</w:t>
      </w:r>
      <w:r>
        <w:t>.</w:t>
      </w:r>
      <w:r>
        <w:rPr>
          <w:rFonts w:hint="eastAsia"/>
        </w:rPr>
        <w:t>√</w:t>
      </w:r>
      <w:r>
        <w:rPr>
          <w:rFonts w:cs="宋体"/>
        </w:rPr>
        <w:t xml:space="preserve">   10</w:t>
      </w:r>
      <w:r>
        <w:t>.</w:t>
      </w:r>
      <w:r>
        <w:rPr>
          <w:rFonts w:hint="eastAsia"/>
        </w:rPr>
        <w:t>√</w:t>
      </w:r>
    </w:p>
    <w:p>
      <w:pPr>
        <w:snapToGrid w:val="0"/>
        <w:spacing w:line="240" w:lineRule="auto"/>
        <w:ind w:firstLine="0" w:firstLineChars="0"/>
        <w:outlineLvl w:val="0"/>
        <w:rPr>
          <w:rFonts w:cs="宋体"/>
          <w:b/>
          <w:bCs/>
        </w:rPr>
      </w:pPr>
      <w:r>
        <w:rPr>
          <w:rFonts w:hint="eastAsia" w:cs="宋体"/>
          <w:b/>
          <w:bCs/>
        </w:rPr>
        <w:t>四、名词解释：</w:t>
      </w:r>
    </w:p>
    <w:p>
      <w:pPr>
        <w:snapToGrid w:val="0"/>
        <w:spacing w:line="240" w:lineRule="auto"/>
        <w:ind w:firstLine="105" w:firstLineChars="50"/>
        <w:rPr>
          <w:rFonts w:cs="宋体"/>
        </w:rPr>
      </w:pPr>
      <w:r>
        <w:rPr>
          <w:rFonts w:cs="宋体"/>
        </w:rPr>
        <w:t>1.</w:t>
      </w:r>
      <w:r>
        <w:rPr>
          <w:rFonts w:hint="eastAsia" w:cs="宋体"/>
        </w:rPr>
        <w:t>消费者：是指为生活需要而购买，使用商品或接受服务的人。</w:t>
      </w:r>
    </w:p>
    <w:p>
      <w:pPr>
        <w:snapToGrid w:val="0"/>
        <w:spacing w:line="240" w:lineRule="auto"/>
        <w:ind w:firstLine="105" w:firstLineChars="50"/>
        <w:rPr>
          <w:rFonts w:cs="宋体"/>
        </w:rPr>
      </w:pPr>
      <w:r>
        <w:rPr>
          <w:rFonts w:cs="宋体"/>
        </w:rPr>
        <w:t>2.</w:t>
      </w:r>
      <w:r>
        <w:rPr>
          <w:rFonts w:hint="eastAsia" w:cs="宋体"/>
        </w:rPr>
        <w:t>相关市场：指经营者在一定时期内就特定商品或者服务进行竞争的商品范围和地域范围。</w:t>
      </w:r>
    </w:p>
    <w:p>
      <w:pPr>
        <w:snapToGrid w:val="0"/>
        <w:spacing w:line="240" w:lineRule="auto"/>
        <w:ind w:firstLine="105" w:firstLineChars="50"/>
        <w:rPr>
          <w:rFonts w:cs="宋体"/>
        </w:rPr>
      </w:pPr>
      <w:r>
        <w:rPr>
          <w:rFonts w:cs="宋体"/>
        </w:rPr>
        <w:t>3.</w:t>
      </w:r>
      <w:r>
        <w:rPr>
          <w:rFonts w:hint="eastAsia" w:cs="宋体"/>
        </w:rPr>
        <w:t>财政转移支付：中央或地方政府将部分财政收入无偿让渡给下级政府、企业和居民时发生的财政支出。</w:t>
      </w:r>
    </w:p>
    <w:p>
      <w:pPr>
        <w:snapToGrid w:val="0"/>
        <w:spacing w:line="240" w:lineRule="auto"/>
        <w:ind w:firstLine="105" w:firstLineChars="50"/>
        <w:rPr>
          <w:rFonts w:cs="宋体"/>
        </w:rPr>
      </w:pPr>
      <w:r>
        <w:rPr>
          <w:rFonts w:cs="宋体"/>
        </w:rPr>
        <w:t>4.</w:t>
      </w:r>
      <w:r>
        <w:rPr>
          <w:rFonts w:hint="eastAsia" w:cs="宋体"/>
        </w:rPr>
        <w:t>提倡性规范：鼓励、提倡人们为或不为一定行为的法律规范。</w:t>
      </w:r>
    </w:p>
    <w:p>
      <w:pPr>
        <w:snapToGrid w:val="0"/>
        <w:spacing w:line="240" w:lineRule="auto"/>
        <w:ind w:firstLine="0" w:firstLineChars="0"/>
        <w:outlineLvl w:val="0"/>
        <w:rPr>
          <w:rFonts w:cs="宋体"/>
          <w:b/>
          <w:bCs/>
        </w:rPr>
      </w:pPr>
      <w:r>
        <w:rPr>
          <w:rFonts w:hint="eastAsia" w:cs="宋体"/>
          <w:b/>
          <w:bCs/>
        </w:rPr>
        <w:t>五、简答题：</w:t>
      </w:r>
    </w:p>
    <w:p>
      <w:pPr>
        <w:snapToGrid w:val="0"/>
        <w:spacing w:line="240" w:lineRule="auto"/>
        <w:ind w:left="0" w:leftChars="0" w:firstLine="0" w:firstLineChars="0"/>
        <w:rPr>
          <w:rFonts w:cs="宋体"/>
          <w:color w:val="000000"/>
        </w:rPr>
      </w:pPr>
    </w:p>
    <w:p>
      <w:pPr>
        <w:snapToGrid w:val="0"/>
        <w:spacing w:line="240" w:lineRule="auto"/>
        <w:ind w:firstLine="105" w:firstLineChars="50"/>
        <w:rPr>
          <w:rFonts w:cs="宋体"/>
        </w:rPr>
      </w:pPr>
      <w:r>
        <w:rPr>
          <w:rFonts w:hint="eastAsia" w:cs="宋体"/>
          <w:lang w:val="en-US" w:eastAsia="zh-CN"/>
        </w:rPr>
        <w:t>1</w:t>
      </w:r>
      <w:r>
        <w:rPr>
          <w:rFonts w:cs="宋体"/>
        </w:rPr>
        <w:t>.</w:t>
      </w:r>
      <w:r>
        <w:rPr>
          <w:rFonts w:hint="eastAsia" w:cs="宋体"/>
        </w:rPr>
        <w:t>答：根据我国的《个人所得税法》的规定，下列各项个人所得，应纳个人所得税：</w:t>
      </w:r>
    </w:p>
    <w:p>
      <w:pPr>
        <w:snapToGrid w:val="0"/>
        <w:spacing w:line="240" w:lineRule="auto"/>
        <w:ind w:left="0" w:leftChars="0" w:firstLine="0" w:firstLineChars="0"/>
        <w:rPr>
          <w:rFonts w:cs="宋体"/>
        </w:rPr>
      </w:pPr>
      <w:r>
        <w:rPr>
          <w:rFonts w:hint="eastAsia" w:cs="宋体"/>
        </w:rPr>
        <w:t>（</w:t>
      </w:r>
      <w:r>
        <w:rPr>
          <w:rFonts w:cs="宋体"/>
        </w:rPr>
        <w:t>1</w:t>
      </w:r>
      <w:r>
        <w:rPr>
          <w:rFonts w:hint="eastAsia" w:cs="宋体"/>
        </w:rPr>
        <w:t>）工资、薪金所得；（</w:t>
      </w:r>
      <w:r>
        <w:rPr>
          <w:rFonts w:cs="宋体"/>
        </w:rPr>
        <w:t>2</w:t>
      </w:r>
      <w:r>
        <w:rPr>
          <w:rFonts w:hint="eastAsia" w:cs="宋体"/>
        </w:rPr>
        <w:t>）个体工商户的生产、经营所得；（</w:t>
      </w:r>
      <w:r>
        <w:rPr>
          <w:rFonts w:cs="宋体"/>
        </w:rPr>
        <w:t>3</w:t>
      </w:r>
      <w:r>
        <w:rPr>
          <w:rFonts w:hint="eastAsia" w:cs="宋体"/>
        </w:rPr>
        <w:t>）对企事业单位的承包经营、承租经营所得；（</w:t>
      </w:r>
      <w:r>
        <w:rPr>
          <w:rFonts w:cs="宋体"/>
        </w:rPr>
        <w:t>4</w:t>
      </w:r>
      <w:r>
        <w:rPr>
          <w:rFonts w:hint="eastAsia" w:cs="宋体"/>
        </w:rPr>
        <w:t>）劳务报酬所得；（</w:t>
      </w:r>
      <w:r>
        <w:rPr>
          <w:rFonts w:cs="宋体"/>
        </w:rPr>
        <w:t>5</w:t>
      </w:r>
      <w:r>
        <w:rPr>
          <w:rFonts w:hint="eastAsia" w:cs="宋体"/>
        </w:rPr>
        <w:t>）稿酬所得；（</w:t>
      </w:r>
      <w:r>
        <w:rPr>
          <w:rFonts w:cs="宋体"/>
        </w:rPr>
        <w:t>6</w:t>
      </w:r>
      <w:r>
        <w:rPr>
          <w:rFonts w:hint="eastAsia" w:cs="宋体"/>
        </w:rPr>
        <w:t>）特许权使用费所得；（</w:t>
      </w:r>
      <w:r>
        <w:rPr>
          <w:rFonts w:cs="宋体"/>
        </w:rPr>
        <w:t>7</w:t>
      </w:r>
      <w:r>
        <w:rPr>
          <w:rFonts w:hint="eastAsia" w:cs="宋体"/>
        </w:rPr>
        <w:t>）利息、股息、红利所得；（</w:t>
      </w:r>
      <w:r>
        <w:rPr>
          <w:rFonts w:cs="宋体"/>
        </w:rPr>
        <w:t>8</w:t>
      </w:r>
      <w:r>
        <w:rPr>
          <w:rFonts w:hint="eastAsia" w:cs="宋体"/>
        </w:rPr>
        <w:t>）财产租赁所得；（</w:t>
      </w:r>
      <w:r>
        <w:rPr>
          <w:rFonts w:cs="宋体"/>
        </w:rPr>
        <w:t>9</w:t>
      </w:r>
      <w:r>
        <w:rPr>
          <w:rFonts w:hint="eastAsia" w:cs="宋体"/>
        </w:rPr>
        <w:t>）财产转让所得；（</w:t>
      </w:r>
      <w:r>
        <w:rPr>
          <w:rFonts w:cs="宋体"/>
        </w:rPr>
        <w:t>10</w:t>
      </w:r>
      <w:r>
        <w:rPr>
          <w:rFonts w:hint="eastAsia" w:cs="宋体"/>
        </w:rPr>
        <w:t>）偶然所得；（</w:t>
      </w:r>
      <w:r>
        <w:rPr>
          <w:rFonts w:cs="宋体"/>
        </w:rPr>
        <w:t>11</w:t>
      </w:r>
      <w:r>
        <w:rPr>
          <w:rFonts w:hint="eastAsia" w:cs="宋体"/>
        </w:rPr>
        <w:t>）经国务院财政部门确定征税的其他所得。</w:t>
      </w:r>
    </w:p>
    <w:p>
      <w:pPr>
        <w:snapToGrid w:val="0"/>
        <w:spacing w:line="240" w:lineRule="auto"/>
        <w:ind w:left="735" w:leftChars="50" w:hanging="630" w:hangingChars="300"/>
        <w:rPr>
          <w:rFonts w:hint="eastAsia" w:cs="宋体"/>
          <w:lang w:val="en-US" w:eastAsia="zh-CN"/>
        </w:rPr>
      </w:pPr>
    </w:p>
    <w:p>
      <w:pPr>
        <w:snapToGrid w:val="0"/>
        <w:spacing w:line="240" w:lineRule="auto"/>
        <w:ind w:left="735" w:leftChars="50" w:hanging="630" w:hangingChars="300"/>
        <w:rPr>
          <w:rFonts w:cs="宋体"/>
        </w:rPr>
      </w:pPr>
      <w:bookmarkStart w:id="0" w:name="_GoBack"/>
      <w:bookmarkEnd w:id="0"/>
      <w:r>
        <w:rPr>
          <w:rFonts w:hint="eastAsia" w:cs="宋体"/>
          <w:lang w:val="en-US" w:eastAsia="zh-CN"/>
        </w:rPr>
        <w:t>2</w:t>
      </w:r>
      <w:r>
        <w:rPr>
          <w:rFonts w:cs="宋体"/>
        </w:rPr>
        <w:t>.</w:t>
      </w:r>
      <w:r>
        <w:rPr>
          <w:rFonts w:hint="eastAsia" w:cs="宋体"/>
        </w:rPr>
        <w:t>答：消费税具有下列特征：</w:t>
      </w:r>
    </w:p>
    <w:p>
      <w:pPr>
        <w:snapToGrid w:val="0"/>
        <w:spacing w:line="240" w:lineRule="auto"/>
        <w:ind w:left="0" w:leftChars="0" w:firstLine="0" w:firstLineChars="0"/>
        <w:rPr>
          <w:rFonts w:cs="宋体"/>
        </w:rPr>
      </w:pPr>
      <w:r>
        <w:rPr>
          <w:rFonts w:hint="eastAsia" w:cs="宋体"/>
        </w:rPr>
        <w:t>第一，征税范围具有选择性。只对一部分消费品和消费行为征税。</w:t>
      </w:r>
    </w:p>
    <w:p>
      <w:pPr>
        <w:snapToGrid w:val="0"/>
        <w:spacing w:line="240" w:lineRule="auto"/>
        <w:ind w:left="0" w:leftChars="0" w:firstLine="0" w:firstLineChars="0"/>
        <w:rPr>
          <w:rFonts w:cs="宋体"/>
        </w:rPr>
      </w:pPr>
      <w:r>
        <w:rPr>
          <w:rFonts w:hint="eastAsia" w:cs="宋体"/>
        </w:rPr>
        <w:t>第二，征税环节具有单一性。只在消费品生产、流通或消费的某一环节征收，而不是在生产、流通、消费的所有环节征收。</w:t>
      </w:r>
    </w:p>
    <w:p>
      <w:pPr>
        <w:snapToGrid w:val="0"/>
        <w:spacing w:line="240" w:lineRule="auto"/>
        <w:ind w:left="0" w:leftChars="0" w:firstLine="0" w:firstLineChars="0"/>
        <w:rPr>
          <w:rFonts w:cs="宋体"/>
        </w:rPr>
      </w:pPr>
      <w:r>
        <w:rPr>
          <w:rFonts w:hint="eastAsia" w:cs="宋体"/>
        </w:rPr>
        <w:t>第三，税率、税额的差别性。根据不同消费品的种类、档次、结构、功能以及供求、价格等情况，制定不同的税率、税额。</w:t>
      </w:r>
    </w:p>
    <w:p>
      <w:pPr>
        <w:snapToGrid w:val="0"/>
        <w:spacing w:line="240" w:lineRule="auto"/>
        <w:ind w:left="0" w:leftChars="0" w:firstLine="0" w:firstLineChars="0"/>
        <w:rPr>
          <w:rFonts w:cs="宋体"/>
        </w:rPr>
      </w:pPr>
      <w:r>
        <w:rPr>
          <w:rFonts w:hint="eastAsia" w:cs="宋体"/>
        </w:rPr>
        <w:t>第四，税负具有转嫁性。最终要转嫁到消费者身上，由消费者负担。</w:t>
      </w:r>
    </w:p>
    <w:p>
      <w:pPr>
        <w:snapToGrid w:val="0"/>
        <w:spacing w:line="240" w:lineRule="auto"/>
        <w:ind w:left="0" w:leftChars="0" w:firstLine="0" w:firstLineChars="0"/>
        <w:rPr>
          <w:rFonts w:cs="宋体"/>
        </w:rPr>
      </w:pPr>
      <w:r>
        <w:rPr>
          <w:rFonts w:hint="eastAsia" w:cs="宋体"/>
        </w:rPr>
        <w:t>第五，消费税是价内税，即以含税价格为计税依据的税。</w:t>
      </w:r>
    </w:p>
    <w:p>
      <w:pPr>
        <w:snapToGrid w:val="0"/>
        <w:spacing w:line="240" w:lineRule="auto"/>
        <w:ind w:firstLine="0" w:firstLineChars="0"/>
        <w:outlineLvl w:val="0"/>
        <w:rPr>
          <w:rFonts w:hint="eastAsia" w:cs="宋体"/>
        </w:rPr>
      </w:pPr>
      <w:r>
        <w:rPr>
          <w:rFonts w:hint="eastAsia" w:cs="宋体"/>
          <w:b/>
          <w:bCs/>
        </w:rPr>
        <w:t>六、论述题：</w:t>
      </w:r>
    </w:p>
    <w:p>
      <w:pPr>
        <w:snapToGrid w:val="0"/>
        <w:spacing w:line="240" w:lineRule="auto"/>
        <w:ind w:left="735" w:leftChars="50" w:hanging="630" w:hangingChars="300"/>
      </w:pPr>
      <w:r>
        <w:rPr>
          <w:rFonts w:hint="eastAsia" w:cs="宋体"/>
        </w:rPr>
        <w:t>答：</w:t>
      </w:r>
      <w:r>
        <w:rPr>
          <w:rFonts w:hint="eastAsia"/>
        </w:rPr>
        <w:t>产品责任和产品质量责任是两个不同的法律概念：</w:t>
      </w:r>
    </w:p>
    <w:p>
      <w:pPr>
        <w:snapToGrid w:val="0"/>
        <w:spacing w:line="240" w:lineRule="auto"/>
      </w:pPr>
      <w:r>
        <w:rPr>
          <w:rFonts w:hint="eastAsia"/>
        </w:rPr>
        <w:t>首先，两种责任性质不同。产品责任是一种特殊的侵权民事责任，产品质量责任是一种经济法责任，既包括产品质量违约和侵权的民事责任，也包括产品质量的行政责任和刑事责任。</w:t>
      </w:r>
    </w:p>
    <w:p>
      <w:pPr>
        <w:snapToGrid w:val="0"/>
        <w:spacing w:line="240" w:lineRule="auto"/>
      </w:pPr>
      <w:r>
        <w:rPr>
          <w:rFonts w:hint="eastAsia"/>
        </w:rPr>
        <w:t>其次，判定承担责任的依据不同。判定承担产品责任的依据是产品是否存在缺陷，即产品是否存在不合理危险，其依赖于法律法规的直接规定，并不考虑当事人之间是否存在合同关系；判定承担产品质量责任的依据是是否违反默示担保或明示担保以及产品是否具有缺陷，即除了依赖于法律法规的直接规定外，还可根据当事人之间是否具有合同关系来判断，如果由于生产者或销售者的过错造成违约，即使没有给对方造成损失的，也应承担违约责任。</w:t>
      </w:r>
    </w:p>
    <w:p>
      <w:pPr>
        <w:snapToGrid w:val="0"/>
        <w:spacing w:line="240" w:lineRule="auto"/>
      </w:pPr>
      <w:r>
        <w:rPr>
          <w:rFonts w:hint="eastAsia"/>
        </w:rPr>
        <w:t>再次，承担责任的条件不同。承担产品责任的条件是产品存在缺陷，并且造成了他人的损害，是一种事后救济；产品质量责任可以存在于产品生产、销售过程中任何环节，只要有违反质量义务的行为，无论是否造成了损害，均应承担产品质量责任。产品质量责任既有救济功能，也有预防功能。</w:t>
      </w:r>
    </w:p>
    <w:p>
      <w:pPr>
        <w:ind w:left="0" w:leftChars="0" w:firstLine="0" w:firstLineChars="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9064DB"/>
    <w:rsid w:val="4D190873"/>
    <w:rsid w:val="699064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80" w:lineRule="exact"/>
      <w:ind w:firstLine="200" w:firstLineChars="200"/>
      <w:jc w:val="both"/>
    </w:pPr>
    <w:rPr>
      <w:rFonts w:ascii="宋体" w:hAnsi="宋体" w:eastAsiaTheme="minorEastAsia" w:cstheme="minorBidi"/>
      <w:kern w:val="2"/>
      <w:sz w:val="21"/>
      <w:szCs w:val="21"/>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spacing w:line="240" w:lineRule="atLeast"/>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styleId="6">
    <w:name w:val="page number"/>
    <w:basedOn w:val="5"/>
    <w:qFormat/>
    <w:uiPriority w:val="0"/>
    <w:rPr>
      <w:rFonts w:cs="Times New Roman"/>
    </w:rPr>
  </w:style>
  <w:style w:type="paragraph" w:customStyle="1" w:styleId="7">
    <w:name w:val="主标题"/>
    <w:qFormat/>
    <w:uiPriority w:val="99"/>
    <w:pPr>
      <w:snapToGrid w:val="0"/>
      <w:jc w:val="center"/>
      <w:outlineLvl w:val="0"/>
    </w:pPr>
    <w:rPr>
      <w:rFonts w:ascii="宋体" w:hAnsi="宋体" w:cs="宋体" w:eastAsiaTheme="minorEastAsia"/>
      <w:b/>
      <w:kern w:val="2"/>
      <w:sz w:val="30"/>
      <w:szCs w:val="3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2017-11-18T02:02:00Z</dcterms:created>
  <dc:creator>samsung</dc:creator>
  <cp:lastModifiedBy>A.东莞卫培教育教务黎老师</cp:lastModifiedBy>
  <dcterms:modified xsi:type="dcterms:W3CDTF">2020-05-03T06:30:49Z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