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25pt;width:69.2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w:t>
      </w:r>
      <w:r>
        <w:rPr>
          <w:rFonts w:hint="eastAsia"/>
          <w:b/>
          <w:sz w:val="28"/>
          <w:szCs w:val="28"/>
          <w:lang w:val="en-US" w:eastAsia="zh-CN"/>
        </w:rPr>
        <w:t>3</w:t>
      </w:r>
      <w:r>
        <w:rPr>
          <w:rFonts w:hint="eastAsia"/>
          <w:b/>
          <w:sz w:val="28"/>
          <w:szCs w:val="28"/>
        </w:rPr>
        <w:t>级第</w:t>
      </w:r>
      <w:r>
        <w:rPr>
          <w:rFonts w:hint="eastAsia"/>
          <w:b/>
          <w:sz w:val="28"/>
          <w:szCs w:val="28"/>
          <w:lang w:eastAsia="zh-CN"/>
        </w:rPr>
        <w:t>一</w:t>
      </w:r>
      <w:r>
        <w:rPr>
          <w:rFonts w:hint="eastAsia"/>
          <w:b/>
          <w:sz w:val="28"/>
          <w:szCs w:val="28"/>
        </w:rPr>
        <w:t>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lang w:val="en-US" w:eastAsia="zh-CN"/>
        </w:rPr>
        <w:t xml:space="preserve">    </w:t>
      </w:r>
      <w:r>
        <w:rPr>
          <w:rFonts w:hint="eastAsia" w:ascii="黑体" w:eastAsia="黑体"/>
          <w:b/>
          <w:w w:val="120"/>
          <w:sz w:val="28"/>
          <w:szCs w:val="28"/>
          <w:u w:val="single"/>
        </w:rPr>
        <w:t>《</w:t>
      </w:r>
      <w:r>
        <w:rPr>
          <w:rFonts w:hint="eastAsia" w:ascii="黑体" w:eastAsia="黑体"/>
          <w:b/>
          <w:w w:val="120"/>
          <w:sz w:val="28"/>
          <w:szCs w:val="28"/>
          <w:u w:val="single"/>
          <w:lang w:eastAsia="zh-CN"/>
        </w:rPr>
        <w:t>经济学概论</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1、在完全竞争市场上，平均收益AR与边际收益MR的关系是（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AR＞MR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AR＝MR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AR＜AR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与MR无关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2、由于经济萧条而形成的失业属于（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摩擦性失业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结构性失业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color w:val="FF0000"/>
          <w:sz w:val="24"/>
          <w:szCs w:val="24"/>
        </w:rPr>
        <w:t>C. 周期性失业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永久性失业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 宏观经济学的核心理论是（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失业理论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通货膨胀理论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价格理论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color w:val="FF0000"/>
          <w:sz w:val="24"/>
          <w:szCs w:val="24"/>
        </w:rPr>
        <w:t>D. 国民收入决定理论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4、竞争程度最强的市场是（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A. 完全竞争市场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垄断竞争市场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寡头垄断市场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完全垄断市场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5、基尼系数是反映收入分配不平等程度的重要指标，其特征是（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为任意数值，正值代表平等，负值代表不平等，绝对值越大不平等程度越高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为一1到＋1之间的数值，＋1代表完全平等，一1代表完全不平等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color w:val="FF0000"/>
          <w:sz w:val="24"/>
          <w:szCs w:val="24"/>
        </w:rPr>
        <w:t>C. 为0到1之间的数值，数值越小越平等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为0到1之间的数值，数值越大越平等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6、某人由于纺织行业不景气而失去工作，这种失业属于（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摩擦型失业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结构性失业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周期性失业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永久性失业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7、 商品X、Y的价格不变而消费者收入增加，则预算约束线（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向左下方平移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向右上方平移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绕着与X轴的交点转动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D. 绕着与Y轴的交点转动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8、如果政府对某商品的生产者征税，以下哪种情况下消费者负担的税收较重（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需求富于弹性，供给缺乏弹性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需求缺乏弹性，供给富于弹性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需求和供给均富于弹性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需求和供给均缺乏弹性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9、典型的经济周期会依次经历（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A. 繁荣、衰退、萧条、复苏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复苏、繁荣、萧条、衰退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复苏、萧条、衰退、繁荣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萧条、衰退、复苏、繁荣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10、GDP与NDP之间的差别是（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间接税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折旧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直接税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净出口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11、费雪的交易方程式最活跃的因素是（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物价水平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收益最大化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color w:val="FF0000"/>
          <w:sz w:val="24"/>
          <w:szCs w:val="24"/>
        </w:rPr>
        <w:t>C. 货币量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劳务交易量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12、当某商品的供给和需求同时增加时，该商品的均衡数量将（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无法确定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下降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不变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color w:val="FF0000"/>
          <w:sz w:val="24"/>
          <w:szCs w:val="24"/>
        </w:rPr>
        <w:t>D. 上升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13、在垄断竞争中，利润会趋于零是由于（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产品差异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B. 进入该行业相对容易</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C. 成本最小化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收益最大化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14、经济增长的标志是（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城市化速度加快</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先进技术的广泛应用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C. 社会生产能力的不断提高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失业率下降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15、垄断厂商利润极大时（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A. P＝MR＝MC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 P＞MR＞MC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rPr>
        <w:t>C. P＞MR＝MC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D. P＞MR＝AC</w:t>
      </w:r>
    </w:p>
    <w:p>
      <w:pPr>
        <w:spacing w:line="360" w:lineRule="auto"/>
        <w:jc w:val="left"/>
      </w:pPr>
      <w:r>
        <w:rPr>
          <w:rFonts w:hint="eastAsia" w:ascii="宋体" w:hAnsi="宋体" w:cs="宋体"/>
          <w:b/>
          <w:sz w:val="24"/>
        </w:rPr>
        <w:t>二、</w:t>
      </w:r>
      <w:r>
        <w:rPr>
          <w:rFonts w:hint="eastAsia" w:ascii="宋体" w:hAnsi="宋体" w:cs="宋体"/>
          <w:b/>
          <w:sz w:val="24"/>
          <w:lang w:eastAsia="zh-CN"/>
        </w:rPr>
        <w:t>判断</w:t>
      </w:r>
      <w:r>
        <w:rPr>
          <w:rFonts w:hint="eastAsia" w:ascii="宋体" w:hAnsi="宋体" w:cs="宋体"/>
          <w:b/>
          <w:sz w:val="24"/>
        </w:rPr>
        <w:t>题（每小题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sz w:val="24"/>
          <w:szCs w:val="24"/>
        </w:rPr>
        <w:t>生产要素的价格一旦确定，等成本曲线斜率随之确定。</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sz w:val="24"/>
          <w:szCs w:val="24"/>
        </w:rPr>
        <w:t>对一个国外净要素收入为负的国家而言，GDP应小于GNP。</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X</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3、</w:t>
      </w:r>
      <w:r>
        <w:rPr>
          <w:rFonts w:ascii="宋体" w:hAnsi="宋体" w:eastAsia="宋体" w:cs="宋体"/>
          <w:sz w:val="24"/>
          <w:szCs w:val="24"/>
        </w:rPr>
        <w:t>减少再贴现率和法定准备金比率可以增加货币供给量。</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4、</w:t>
      </w:r>
      <w:r>
        <w:rPr>
          <w:rFonts w:ascii="宋体" w:hAnsi="宋体" w:eastAsia="宋体" w:cs="宋体"/>
          <w:sz w:val="24"/>
          <w:szCs w:val="24"/>
        </w:rPr>
        <w:t>规模报酬递减是边际报酬递减造成的。</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X</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sz w:val="24"/>
          <w:szCs w:val="24"/>
        </w:rPr>
        <w:t>LM曲线是描述货币市场达到均衡时，国民收入与利息率之间存在着反方向变动关系的曲线。</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X</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sz w:val="24"/>
          <w:szCs w:val="24"/>
        </w:rPr>
        <w:t>用商品X代替商品Y的边际替代率等于3意味着，1单位商品X和3商品Y具有同样的总效用。</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7、</w:t>
      </w:r>
      <w:r>
        <w:rPr>
          <w:rFonts w:ascii="宋体" w:hAnsi="宋体" w:eastAsia="宋体" w:cs="宋体"/>
          <w:sz w:val="24"/>
          <w:szCs w:val="24"/>
        </w:rPr>
        <w:t>宏观经济政策目标之一是价格稳定，价格稳定指价格指数相对稳定，而不是所有商品价格固定不变。</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sz w:val="24"/>
          <w:szCs w:val="24"/>
        </w:rPr>
        <w:t>商品的边际替代率递减规律决定了无差异曲线形状是凸向原点的。</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9、</w:t>
      </w:r>
      <w:r>
        <w:rPr>
          <w:rFonts w:ascii="宋体" w:hAnsi="宋体" w:eastAsia="宋体" w:cs="宋体"/>
          <w:sz w:val="24"/>
          <w:szCs w:val="24"/>
        </w:rPr>
        <w:t>垄断厂商可以任意制定价格。</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 xml:space="preserve">X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10、</w:t>
      </w:r>
      <w:r>
        <w:rPr>
          <w:rFonts w:ascii="宋体" w:hAnsi="宋体" w:eastAsia="宋体" w:cs="宋体"/>
          <w:sz w:val="24"/>
          <w:szCs w:val="24"/>
        </w:rPr>
        <w:t>需求的减少会引起均衡价格的下降和均衡数量的减少。</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color w:val="FF0000"/>
          <w:sz w:val="24"/>
          <w:szCs w:val="24"/>
          <w:lang w:val="en-US" w:eastAsia="zh-CN"/>
        </w:rPr>
        <w:t>V</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spacing w:line="360" w:lineRule="auto"/>
        <w:rPr>
          <w:rFonts w:ascii="宋体" w:hAnsi="宋体" w:cs="宋体"/>
          <w:sz w:val="24"/>
        </w:rPr>
      </w:pPr>
    </w:p>
    <w:p>
      <w:pPr>
        <w:spacing w:line="360" w:lineRule="auto"/>
        <w:rPr>
          <w:rFonts w:ascii="宋体" w:hAnsi="宋体" w:cs="宋体"/>
          <w:b/>
          <w:sz w:val="24"/>
        </w:rPr>
      </w:pPr>
      <w:r>
        <w:rPr>
          <w:rFonts w:hint="eastAsia" w:ascii="宋体" w:hAnsi="宋体" w:cs="宋体"/>
          <w:b/>
          <w:sz w:val="24"/>
        </w:rPr>
        <w:t>三、</w:t>
      </w:r>
      <w:r>
        <w:rPr>
          <w:rFonts w:hint="eastAsia" w:ascii="宋体" w:hAnsi="宋体" w:cs="宋体"/>
          <w:b/>
          <w:sz w:val="24"/>
          <w:lang w:eastAsia="zh-CN"/>
        </w:rPr>
        <w:t>填空题</w:t>
      </w:r>
      <w:r>
        <w:rPr>
          <w:rFonts w:hint="eastAsia" w:ascii="宋体" w:hAnsi="宋体" w:cs="宋体"/>
          <w:b/>
          <w:sz w:val="24"/>
        </w:rPr>
        <w:t>（每小题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sz w:val="24"/>
          <w:szCs w:val="24"/>
        </w:rPr>
        <w:t>衡量社会收人分配公平程度的曲线是</w:t>
      </w:r>
      <w:r>
        <w:rPr>
          <w:rFonts w:ascii="宋体" w:hAnsi="宋体" w:eastAsia="宋体" w:cs="宋体"/>
          <w:b w:val="0"/>
          <w:bCs w:val="0"/>
          <w:sz w:val="24"/>
          <w:szCs w:val="24"/>
        </w:rPr>
        <w:t xml:space="preserve">（ </w:t>
      </w:r>
      <w:r>
        <w:rPr>
          <w:rFonts w:hint="eastAsia" w:ascii="宋体" w:hAnsi="宋体" w:cs="宋体"/>
          <w:b w:val="0"/>
          <w:bCs w:val="0"/>
          <w:color w:val="FF0000"/>
          <w:sz w:val="24"/>
          <w:szCs w:val="24"/>
          <w:lang w:val="en-US" w:eastAsia="zh-CN"/>
        </w:rPr>
        <w:t>洛伦兹曲线</w:t>
      </w:r>
      <w:r>
        <w:rPr>
          <w:rFonts w:ascii="宋体" w:hAnsi="宋体" w:eastAsia="宋体" w:cs="宋体"/>
          <w:b w:val="0"/>
          <w:bCs w:val="0"/>
          <w:sz w:val="24"/>
          <w:szCs w:val="24"/>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sz w:val="24"/>
          <w:szCs w:val="24"/>
        </w:rPr>
        <w:t xml:space="preserve">由于工会垄断力量要求提高工资、导致雇主提高商品售价，最终引发整个社会物价水平上涨，这就是（ </w:t>
      </w:r>
      <w:r>
        <w:rPr>
          <w:rFonts w:hint="eastAsia" w:ascii="宋体" w:hAnsi="宋体" w:cs="宋体"/>
          <w:color w:val="FF0000"/>
          <w:sz w:val="24"/>
          <w:szCs w:val="24"/>
          <w:lang w:val="en-US" w:eastAsia="zh-CN"/>
        </w:rPr>
        <w:t>成本推动型通货膨胀</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3、</w:t>
      </w:r>
      <w:r>
        <w:rPr>
          <w:rFonts w:ascii="宋体" w:hAnsi="宋体" w:eastAsia="宋体" w:cs="宋体"/>
          <w:sz w:val="24"/>
          <w:szCs w:val="24"/>
        </w:rPr>
        <w:t>平均成本减平均固定成本等于</w:t>
      </w:r>
      <w:r>
        <w:rPr>
          <w:rFonts w:ascii="宋体" w:hAnsi="宋体" w:eastAsia="宋体" w:cs="宋体"/>
          <w:b w:val="0"/>
          <w:bCs w:val="0"/>
          <w:sz w:val="24"/>
          <w:szCs w:val="24"/>
        </w:rPr>
        <w:t xml:space="preserve">（ </w:t>
      </w:r>
      <w:r>
        <w:rPr>
          <w:rFonts w:hint="eastAsia" w:ascii="宋体" w:hAnsi="宋体" w:cs="宋体"/>
          <w:b w:val="0"/>
          <w:bCs w:val="0"/>
          <w:color w:val="FF0000"/>
          <w:sz w:val="24"/>
          <w:szCs w:val="24"/>
          <w:lang w:val="en-US" w:eastAsia="zh-CN"/>
        </w:rPr>
        <w:t>平均可变成本</w:t>
      </w:r>
      <w:r>
        <w:rPr>
          <w:rFonts w:ascii="宋体" w:hAnsi="宋体" w:eastAsia="宋体" w:cs="宋体"/>
          <w:b w:val="0"/>
          <w:bCs w:val="0"/>
          <w:sz w:val="24"/>
          <w:szCs w:val="24"/>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4、</w:t>
      </w:r>
      <w:r>
        <w:rPr>
          <w:rFonts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color w:val="FF0000"/>
          <w:sz w:val="24"/>
          <w:szCs w:val="24"/>
          <w:lang w:val="en-US" w:eastAsia="zh-CN"/>
        </w:rPr>
        <w:t>规范经济学</w:t>
      </w:r>
      <w:r>
        <w:rPr>
          <w:rFonts w:hint="eastAsia" w:ascii="宋体" w:hAnsi="宋体" w:cs="宋体"/>
          <w:sz w:val="24"/>
          <w:szCs w:val="24"/>
          <w:lang w:val="en-US" w:eastAsia="zh-CN"/>
        </w:rPr>
        <w:t xml:space="preserve"> </w:t>
      </w:r>
      <w:r>
        <w:rPr>
          <w:rFonts w:ascii="宋体" w:hAnsi="宋体" w:eastAsia="宋体" w:cs="宋体"/>
          <w:sz w:val="24"/>
          <w:szCs w:val="24"/>
        </w:rPr>
        <w:t xml:space="preserve">  ）是做出关于世界应该是什么样子的表述</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sz w:val="24"/>
          <w:szCs w:val="24"/>
        </w:rPr>
        <w:t xml:space="preserve">即使企业不生产也必须支付的成本是（ </w:t>
      </w:r>
      <w:r>
        <w:rPr>
          <w:rFonts w:hint="eastAsia" w:ascii="宋体" w:hAnsi="宋体" w:cs="宋体"/>
          <w:sz w:val="24"/>
          <w:szCs w:val="24"/>
          <w:lang w:val="en-US" w:eastAsia="zh-CN"/>
        </w:rPr>
        <w:t xml:space="preserve">  </w:t>
      </w:r>
      <w:r>
        <w:rPr>
          <w:rFonts w:hint="eastAsia" w:ascii="宋体" w:hAnsi="宋体" w:cs="宋体"/>
          <w:color w:val="FF0000"/>
          <w:sz w:val="24"/>
          <w:szCs w:val="24"/>
          <w:lang w:val="en-US" w:eastAsia="zh-CN"/>
        </w:rPr>
        <w:t>固定成本</w:t>
      </w:r>
      <w:r>
        <w:rPr>
          <w:rFonts w:hint="eastAsia" w:ascii="宋体" w:hAnsi="宋体" w:cs="宋体"/>
          <w:sz w:val="24"/>
          <w:szCs w:val="24"/>
          <w:lang w:val="en-US" w:eastAsia="zh-CN"/>
        </w:rPr>
        <w:t xml:space="preserve">  </w:t>
      </w:r>
      <w:r>
        <w:rPr>
          <w:rFonts w:ascii="宋体" w:hAnsi="宋体" w:eastAsia="宋体" w:cs="宋体"/>
          <w:sz w:val="24"/>
          <w:szCs w:val="24"/>
        </w:rPr>
        <w:t xml:space="preserve">  ）</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sz w:val="24"/>
          <w:szCs w:val="24"/>
        </w:rPr>
        <w:t xml:space="preserve">中央银行通过提高法定准备金比率属于（ </w:t>
      </w:r>
      <w:r>
        <w:rPr>
          <w:rFonts w:hint="eastAsia" w:ascii="宋体" w:hAnsi="宋体" w:cs="宋体"/>
          <w:color w:val="FF0000"/>
          <w:sz w:val="24"/>
          <w:szCs w:val="24"/>
          <w:lang w:val="en-US" w:eastAsia="zh-CN"/>
        </w:rPr>
        <w:t>紧缩性货币政策</w:t>
      </w:r>
      <w:r>
        <w:rPr>
          <w:rFonts w:ascii="宋体" w:hAnsi="宋体" w:eastAsia="宋体" w:cs="宋体"/>
          <w:sz w:val="24"/>
          <w:szCs w:val="24"/>
        </w:rPr>
        <w:t xml:space="preserve">  ）</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7、</w:t>
      </w:r>
      <w:r>
        <w:rPr>
          <w:rFonts w:ascii="宋体" w:hAnsi="宋体" w:eastAsia="宋体" w:cs="宋体"/>
          <w:sz w:val="24"/>
          <w:szCs w:val="24"/>
        </w:rPr>
        <w:t xml:space="preserve">如果一种商品的价格从5元上升至5.50元，需求量从200下降至190，因此该种商品的需求（ </w:t>
      </w:r>
      <w:r>
        <w:rPr>
          <w:rFonts w:hint="eastAsia" w:ascii="宋体" w:hAnsi="宋体" w:cs="宋体"/>
          <w:color w:val="FF0000"/>
          <w:sz w:val="24"/>
          <w:szCs w:val="24"/>
          <w:lang w:val="en-US" w:eastAsia="zh-CN"/>
        </w:rPr>
        <w:t>缺乏价格弹性</w:t>
      </w:r>
      <w:r>
        <w:rPr>
          <w:rFonts w:ascii="宋体" w:hAnsi="宋体" w:eastAsia="宋体" w:cs="宋体"/>
          <w:sz w:val="24"/>
          <w:szCs w:val="24"/>
        </w:rPr>
        <w:t xml:space="preserve"> ）</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sz w:val="24"/>
          <w:szCs w:val="24"/>
        </w:rPr>
        <w:t>在完全垄断厂商的最好或最优产量处（</w:t>
      </w:r>
      <w:r>
        <w:rPr>
          <w:rFonts w:ascii="宋体" w:hAnsi="宋体" w:eastAsia="宋体" w:cs="宋体"/>
          <w:color w:val="FF0000"/>
          <w:sz w:val="24"/>
          <w:szCs w:val="24"/>
        </w:rPr>
        <w:t xml:space="preserve"> </w:t>
      </w:r>
      <w:r>
        <w:rPr>
          <w:rFonts w:hint="eastAsia" w:ascii="宋体" w:hAnsi="宋体" w:cs="宋体"/>
          <w:color w:val="FF0000"/>
          <w:sz w:val="24"/>
          <w:szCs w:val="24"/>
          <w:lang w:val="en-US" w:eastAsia="zh-CN"/>
        </w:rPr>
        <w:t>MR = MC</w:t>
      </w:r>
      <w:r>
        <w:rPr>
          <w:rFonts w:ascii="宋体" w:hAnsi="宋体" w:eastAsia="宋体" w:cs="宋体"/>
          <w:color w:val="FF0000"/>
          <w:sz w:val="24"/>
          <w:szCs w:val="24"/>
        </w:rPr>
        <w:t xml:space="preserve"> </w:t>
      </w:r>
      <w:r>
        <w:rPr>
          <w:rFonts w:ascii="宋体" w:hAnsi="宋体" w:eastAsia="宋体" w:cs="宋体"/>
          <w:sz w:val="24"/>
          <w:szCs w:val="24"/>
        </w:rPr>
        <w:t xml:space="preserve"> ）</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ascii="宋体" w:hAnsi="宋体" w:cs="宋体"/>
          <w:b w:val="0"/>
          <w:bCs w:val="0"/>
          <w:sz w:val="24"/>
          <w:szCs w:val="24"/>
          <w:lang w:val="en-US" w:eastAsia="zh-CN"/>
        </w:rPr>
        <w:t>9、</w:t>
      </w:r>
      <w:r>
        <w:rPr>
          <w:rFonts w:ascii="宋体" w:hAnsi="宋体" w:eastAsia="宋体" w:cs="宋体"/>
          <w:sz w:val="24"/>
          <w:szCs w:val="24"/>
        </w:rPr>
        <w:t xml:space="preserve">总需求曲线向右下方倾斜的原因在于（ </w:t>
      </w:r>
      <w:r>
        <w:rPr>
          <w:rFonts w:hint="eastAsia" w:ascii="宋体" w:hAnsi="宋体" w:cs="宋体"/>
          <w:color w:val="FF0000"/>
          <w:sz w:val="24"/>
          <w:szCs w:val="24"/>
          <w:lang w:val="en-US" w:eastAsia="zh-CN"/>
        </w:rPr>
        <w:t>利率效应、实际余额效应、税收效应、净出口效应</w:t>
      </w:r>
      <w:r>
        <w:rPr>
          <w:rFonts w:ascii="宋体" w:hAnsi="宋体" w:eastAsia="宋体" w:cs="宋体"/>
          <w:sz w:val="24"/>
          <w:szCs w:val="24"/>
        </w:rPr>
        <w:t xml:space="preserve"> ）</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val="0"/>
          <w:bCs/>
          <w:sz w:val="24"/>
          <w:szCs w:val="24"/>
          <w:lang w:val="en-US" w:eastAsia="zh-CN"/>
        </w:rPr>
        <w:t>10、</w:t>
      </w:r>
      <w:r>
        <w:rPr>
          <w:rFonts w:ascii="宋体" w:hAnsi="宋体" w:eastAsia="宋体" w:cs="宋体"/>
          <w:sz w:val="24"/>
          <w:szCs w:val="24"/>
        </w:rPr>
        <w:t>厂商的要素需求曲线向右下方倾斜的原因在于（</w:t>
      </w:r>
      <w:r>
        <w:rPr>
          <w:rFonts w:hint="eastAsia" w:ascii="宋体" w:hAnsi="宋体" w:cs="宋体"/>
          <w:sz w:val="24"/>
          <w:szCs w:val="24"/>
          <w:lang w:val="en-US" w:eastAsia="zh-CN"/>
        </w:rPr>
        <w:t xml:space="preserve">  </w:t>
      </w:r>
      <w:r>
        <w:rPr>
          <w:rFonts w:hint="eastAsia" w:ascii="宋体" w:hAnsi="宋体" w:cs="宋体"/>
          <w:color w:val="FF0000"/>
          <w:sz w:val="24"/>
          <w:szCs w:val="24"/>
          <w:lang w:val="en-US" w:eastAsia="zh-CN"/>
        </w:rPr>
        <w:t>边际生产力递减</w:t>
      </w:r>
      <w:r>
        <w:rPr>
          <w:rFonts w:ascii="宋体" w:hAnsi="宋体" w:eastAsia="宋体" w:cs="宋体"/>
          <w:sz w:val="24"/>
          <w:szCs w:val="24"/>
        </w:rPr>
        <w:t xml:space="preserve"> ）</w:t>
      </w:r>
      <w:r>
        <w:rPr>
          <w:rFonts w:ascii="宋体" w:hAnsi="宋体" w:eastAsia="宋体" w:cs="宋体"/>
          <w:b w:val="0"/>
          <w:sz w:val="24"/>
          <w:szCs w:val="24"/>
        </w:rPr>
        <w:t>。</w:t>
      </w:r>
    </w:p>
    <w:p>
      <w:pPr>
        <w:rPr>
          <w:rFonts w:ascii="宋体" w:hAnsi="宋体" w:eastAsia="宋体" w:cs="宋体"/>
          <w:b/>
          <w:sz w:val="2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r>
        <w:rPr>
          <w:rFonts w:hint="eastAsia" w:ascii="宋体" w:hAnsi="宋体" w:cs="宋体"/>
          <w:b/>
          <w:sz w:val="24"/>
          <w:szCs w:val="24"/>
          <w:lang w:val="en-US" w:eastAsia="zh-CN"/>
        </w:rPr>
        <w:t>四、简答题（</w:t>
      </w:r>
      <w:r>
        <w:rPr>
          <w:rFonts w:hint="eastAsia" w:ascii="宋体" w:hAnsi="宋体" w:cs="宋体"/>
          <w:b/>
          <w:sz w:val="24"/>
          <w:szCs w:val="24"/>
        </w:rPr>
        <w:t>每小题</w:t>
      </w:r>
      <w:r>
        <w:rPr>
          <w:rFonts w:hint="eastAsia" w:ascii="宋体" w:hAnsi="宋体" w:cs="宋体"/>
          <w:b/>
          <w:sz w:val="24"/>
          <w:szCs w:val="24"/>
          <w:lang w:val="en-US" w:eastAsia="zh-CN"/>
        </w:rPr>
        <w:t>15</w:t>
      </w:r>
      <w:r>
        <w:rPr>
          <w:rFonts w:hint="eastAsia" w:ascii="宋体" w:hAnsi="宋体" w:cs="宋体"/>
          <w:b/>
          <w:sz w:val="24"/>
          <w:szCs w:val="24"/>
        </w:rPr>
        <w:t>分，共</w:t>
      </w:r>
      <w:r>
        <w:rPr>
          <w:rFonts w:hint="eastAsia" w:ascii="宋体" w:hAnsi="宋体" w:cs="宋体"/>
          <w:b/>
          <w:sz w:val="24"/>
          <w:szCs w:val="24"/>
          <w:lang w:val="en-US" w:eastAsia="zh-CN"/>
        </w:rPr>
        <w:t>3</w:t>
      </w:r>
      <w:r>
        <w:rPr>
          <w:rFonts w:hint="eastAsia" w:ascii="宋体" w:hAnsi="宋体" w:cs="宋体"/>
          <w:b/>
          <w:sz w:val="24"/>
          <w:szCs w:val="24"/>
        </w:rPr>
        <w:t>0分</w:t>
      </w:r>
      <w:r>
        <w:rPr>
          <w:rFonts w:hint="eastAsia" w:ascii="宋体" w:hAnsi="宋体" w:cs="宋体"/>
          <w:b/>
          <w:sz w:val="24"/>
          <w:szCs w:val="24"/>
          <w:lang w:val="en-US" w:eastAsia="zh-CN"/>
        </w:rPr>
        <w:t>）</w:t>
      </w:r>
    </w:p>
    <w:p>
      <w:pPr>
        <w:rPr>
          <w:sz w:val="24"/>
          <w:szCs w:val="24"/>
        </w:rPr>
      </w:pPr>
      <w:r>
        <w:rPr>
          <w:rFonts w:hint="eastAsia" w:ascii="宋体" w:hAnsi="宋体" w:cs="宋体"/>
          <w:sz w:val="24"/>
          <w:szCs w:val="24"/>
          <w:lang w:val="en-US" w:eastAsia="zh-CN"/>
        </w:rPr>
        <w:t>1、</w:t>
      </w:r>
      <w:r>
        <w:rPr>
          <w:rFonts w:ascii="宋体" w:hAnsi="宋体" w:eastAsia="宋体" w:cs="宋体"/>
          <w:sz w:val="24"/>
          <w:szCs w:val="24"/>
        </w:rPr>
        <w:t>寡头市场的特征。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 xml:space="preserve"> (1)市场商厂商的数量少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寡头市场又称为寡头垄断市场。它是指少数几家厂商控制整个市场的产品的生产和销售的这样一种市场组织。寡头市场被认为是一种较为普遍的市场组织。西方国家中不少行业都表现出寡头垄断的特点,例如,美国的汽车业、电气设备业和罐头行业等,都被几家企业所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(2)市场形成原因与完全垄断市场相似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形成寡头市场的主要原因可以有:某些产品的生产必须在相当大的生产规模上进行才能达到最好的经济效益;行业中几家企业对生产所需的基本生产资源的供给的控制;政府的扶植和支持等等。由此可见,寡头市场的成因和垄断市场是很相似的,只是在程度上有所差别而已。寡头市场是比较接近垄断市场的一种市场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(3)可以有不同的分类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寡头行业可按不同方式分类。根据产品特征,可以分为纯粹寡头行业和差别寡头行业两类。在纯粹寡头行业中,厂商之间生产的产品没有差别。例如,可以将钢铁、水泥等行业看成是纯粹寡头行业。在差别寡头行业中,厂商之间生产的产品是有差别的。例如可以将汽车、冰箱等行业看成是差别寡头行业。此外,寡头行业还可按厂商的行动方式,区分为有勾结行为的(即合作的)和独立行动的(即不合作的)不同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(4)寡头厂商的价格和产量的决定复杂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hint="eastAsia" w:ascii="宋体" w:hAnsi="宋体" w:eastAsia="宋体" w:cs="宋体"/>
          <w:color w:val="FF0000"/>
          <w:sz w:val="24"/>
          <w:szCs w:val="24"/>
          <w:lang w:eastAsia="zh-CN"/>
        </w:rPr>
        <w:t>寡头厂商的价格和产量的决定是一个很复杂的问题。其主要原因在于:在寡头市场上,每个厂商的产量都在全行业的总产量中占一个较大的份额,从而每个厂商的产量和价格的变动都会对其他竞争对手以至整个行业的产量和价格产生举足轻重的影响。正因为如此,每个寡头厂商在采取某项行动之前,必须首先要推测或掌握自己这一行动对其他厂商的影响以及其他厂商可能作出的反应,然后,才能在考虑到这些反应方式的前提下采取最有利的行动。所以,每个寡头厂商的利润都要受到行业中所有厂商的决策的相互作用的影响。寡头厂商们的行为之间这种相互影响的复杂关系,使得寡头理论复杂化。一般说来,不知道竞争对手的反应方式,就无法建立寡头厂商的模型。或者说,有多少关于竞争对手的反应方式的假定,就有多少寡头厂商的模型,就可以得到多少不同的结果,因此,在西方经济学中,还没有一个寡头市场模型,可以对寡头市场的价格和产量的决定作出一般的理论总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b w:val="0"/>
          <w:sz w:val="24"/>
          <w:szCs w:val="24"/>
          <w:lang w:val="en-US" w:eastAsia="zh-CN"/>
        </w:rPr>
        <w:t>2、</w:t>
      </w:r>
      <w:r>
        <w:rPr>
          <w:rFonts w:ascii="宋体" w:hAnsi="宋体" w:eastAsia="宋体" w:cs="宋体"/>
          <w:sz w:val="24"/>
          <w:szCs w:val="24"/>
        </w:rPr>
        <w:t>财政政策与货币政策的区别。</w:t>
      </w:r>
    </w:p>
    <w:p>
      <w:pPr>
        <w:pStyle w:val="2"/>
        <w:rPr>
          <w:rFonts w:hint="eastAsia"/>
          <w:color w:val="FF0000"/>
        </w:rPr>
      </w:pPr>
      <w:r>
        <w:rPr>
          <w:rFonts w:hint="eastAsia"/>
          <w:color w:val="FF0000"/>
        </w:rPr>
        <w:t>（1）实施政策的主体不同；</w:t>
      </w:r>
    </w:p>
    <w:p>
      <w:pPr>
        <w:pStyle w:val="2"/>
        <w:rPr>
          <w:rFonts w:hint="eastAsia"/>
          <w:color w:val="FF0000"/>
          <w:lang w:eastAsia="zh-CN"/>
        </w:rPr>
      </w:pPr>
      <w:r>
        <w:rPr>
          <w:rFonts w:hint="eastAsia"/>
          <w:color w:val="FF0000"/>
        </w:rPr>
        <w:t>（2）政策效果的显著性.财政政策效果的显著性取决于乘数效应的大小,但财政政策具有挤出效应,财政政策的效果也与LM曲线的斜率相关.另一方面,货币政策也与IS曲线的斜率相关</w:t>
      </w:r>
      <w:r>
        <w:rPr>
          <w:rFonts w:hint="eastAsia"/>
          <w:color w:val="FF0000"/>
          <w:lang w:eastAsia="zh-CN"/>
        </w:rPr>
        <w:t>。</w:t>
      </w:r>
    </w:p>
    <w:p>
      <w:pPr>
        <w:pStyle w:val="2"/>
        <w:rPr>
          <w:rFonts w:hint="eastAsia" w:eastAsia="宋体"/>
          <w:color w:val="FF0000"/>
          <w:lang w:eastAsia="zh-CN"/>
        </w:rPr>
      </w:pPr>
      <w:r>
        <w:rPr>
          <w:rFonts w:hint="eastAsia"/>
          <w:color w:val="FF0000"/>
        </w:rPr>
        <w:t>（3）两者在作用的机理上也有所不同.财政政策直接作用于总需求,财政政策具有见效快的特点.而货币政策作用于利息率,间接作用于总产量,从而货币政策具有时滞性</w:t>
      </w:r>
      <w:r>
        <w:rPr>
          <w:rFonts w:hint="eastAsia"/>
          <w:color w:val="FF0000"/>
          <w:lang w:eastAsia="zh-CN"/>
        </w:rPr>
        <w:t>。</w:t>
      </w:r>
    </w:p>
    <w:p>
      <w:pPr>
        <w:pStyle w:val="2"/>
        <w:rPr>
          <w:rFonts w:hint="eastAsia" w:eastAsia="宋体"/>
          <w:color w:val="FF0000"/>
          <w:lang w:eastAsia="zh-CN"/>
        </w:rPr>
      </w:pPr>
      <w:r>
        <w:rPr>
          <w:rFonts w:hint="eastAsia"/>
          <w:color w:val="FF0000"/>
        </w:rPr>
        <w:t>（4）两种政策的执行渠道和作用动机也有所不同.两种政策往往需要联合使用,扩张时期实行积极的财政政策,紧缩时期实行紧</w:t>
      </w:r>
      <w:bookmarkStart w:id="0" w:name="_GoBack"/>
      <w:bookmarkEnd w:id="0"/>
      <w:r>
        <w:rPr>
          <w:rFonts w:hint="eastAsia"/>
          <w:color w:val="FF0000"/>
        </w:rPr>
        <w:t>的货币政策</w:t>
      </w:r>
      <w:r>
        <w:rPr>
          <w:rFonts w:hint="eastAsia"/>
          <w:color w:val="FF0000"/>
          <w:lang w:eastAsia="zh-CN"/>
        </w:rPr>
        <w:t>。</w:t>
      </w: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w:t>
    </w:r>
    <w:r>
      <w:rPr>
        <w:rFonts w:hint="eastAsia"/>
        <w:lang w:eastAsia="zh-CN"/>
      </w:rPr>
      <w:t>经济学概论</w:t>
    </w:r>
    <w:r>
      <w:rPr>
        <w:rFonts w:hint="eastAsia"/>
      </w:rPr>
      <w:t>》试卷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HorizontalSpacing w:val="105"/>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4A114C"/>
    <w:rsid w:val="01766892"/>
    <w:rsid w:val="01B96BC6"/>
    <w:rsid w:val="01ED3D41"/>
    <w:rsid w:val="02965E75"/>
    <w:rsid w:val="02BD19CE"/>
    <w:rsid w:val="02FF3DBF"/>
    <w:rsid w:val="088A7F5F"/>
    <w:rsid w:val="08CD1979"/>
    <w:rsid w:val="09463444"/>
    <w:rsid w:val="0C3E33A6"/>
    <w:rsid w:val="0DCF60DD"/>
    <w:rsid w:val="11E9090C"/>
    <w:rsid w:val="15B61ABE"/>
    <w:rsid w:val="16630CF6"/>
    <w:rsid w:val="1BAB226E"/>
    <w:rsid w:val="1DEA7214"/>
    <w:rsid w:val="23BD4386"/>
    <w:rsid w:val="252C0416"/>
    <w:rsid w:val="27340456"/>
    <w:rsid w:val="283A3A13"/>
    <w:rsid w:val="28AB4A44"/>
    <w:rsid w:val="2BEE6204"/>
    <w:rsid w:val="2DF67FF6"/>
    <w:rsid w:val="2E254102"/>
    <w:rsid w:val="2F88401C"/>
    <w:rsid w:val="2FFF2FB3"/>
    <w:rsid w:val="326522D2"/>
    <w:rsid w:val="37EE6F1C"/>
    <w:rsid w:val="391952AE"/>
    <w:rsid w:val="39CF5FE7"/>
    <w:rsid w:val="3BB309D8"/>
    <w:rsid w:val="3DED2B57"/>
    <w:rsid w:val="3E322BB2"/>
    <w:rsid w:val="3FBF6385"/>
    <w:rsid w:val="4487268D"/>
    <w:rsid w:val="46DB33BA"/>
    <w:rsid w:val="46F46879"/>
    <w:rsid w:val="480F3A01"/>
    <w:rsid w:val="4F9214BC"/>
    <w:rsid w:val="4FD86DCF"/>
    <w:rsid w:val="513F1213"/>
    <w:rsid w:val="53563658"/>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A02703"/>
    <w:rsid w:val="61D95752"/>
    <w:rsid w:val="62D831C7"/>
    <w:rsid w:val="635425E3"/>
    <w:rsid w:val="63B75221"/>
    <w:rsid w:val="65084669"/>
    <w:rsid w:val="656A1DF2"/>
    <w:rsid w:val="65D906AC"/>
    <w:rsid w:val="660D2EAF"/>
    <w:rsid w:val="674A02D9"/>
    <w:rsid w:val="679E4652"/>
    <w:rsid w:val="6B013B1C"/>
    <w:rsid w:val="6B882B93"/>
    <w:rsid w:val="6BC10951"/>
    <w:rsid w:val="6BC31FC7"/>
    <w:rsid w:val="6CC07A20"/>
    <w:rsid w:val="6DA8572B"/>
    <w:rsid w:val="712F522C"/>
    <w:rsid w:val="720930DA"/>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24"/>
      <w:szCs w:val="18"/>
    </w:rPr>
  </w:style>
  <w:style w:type="paragraph" w:styleId="3">
    <w:name w:val="Document Map"/>
    <w:basedOn w:val="1"/>
    <w:link w:val="14"/>
    <w:qFormat/>
    <w:uiPriority w:val="0"/>
    <w:rPr>
      <w:rFonts w:ascii="宋体"/>
      <w:sz w:val="18"/>
      <w:szCs w:val="18"/>
    </w:r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3"/>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2805</Words>
  <Characters>2927</Characters>
  <Lines>13</Lines>
  <Paragraphs>3</Paragraphs>
  <TotalTime>151</TotalTime>
  <ScaleCrop>false</ScaleCrop>
  <LinksUpToDate>false</LinksUpToDate>
  <CharactersWithSpaces>3152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2023-07-20T10:26:07Z</dcterms:modified>
  <dc:title>南 博 职 业 技 术 学 院 期 末 考 试 试 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