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000000" w:themeColor="text1"/>
          <w:sz w:val="28"/>
          <w:szCs w:val="28"/>
          <w14:textFill>
            <w14:solidFill>
              <w14:schemeClr w14:val="tx1"/>
            </w14:solidFill>
          </w14:textFill>
        </w:rPr>
      </w:pPr>
      <w:bookmarkStart w:id="5" w:name="_GoBack"/>
      <w:bookmarkEnd w:id="5"/>
      <w:r>
        <w:rPr>
          <w:rFonts w:hint="eastAsia" w:ascii="宋体" w:hAnsi="宋体"/>
          <w:b/>
          <w:color w:val="000000" w:themeColor="text1"/>
          <w:sz w:val="28"/>
          <w:szCs w:val="28"/>
          <w14:textFill>
            <w14:solidFill>
              <w14:schemeClr w14:val="tx1"/>
            </w14:solidFill>
          </w14:textFill>
        </w:rPr>
        <w:t>《行政法学》复习思考题</w:t>
      </w:r>
    </w:p>
    <w:p>
      <w:pP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一、单项选择题</w:t>
      </w:r>
    </w:p>
    <w:tbl>
      <w:tblPr>
        <w:tblStyle w:val="7"/>
        <w:tblpPr w:leftFromText="180" w:rightFromText="180" w:vertAnchor="text" w:tblpY="1"/>
        <w:tblOverlap w:val="never"/>
        <w:tblW w:w="8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02"/>
        <w:gridCol w:w="17"/>
        <w:gridCol w:w="4094"/>
        <w:gridCol w:w="17"/>
        <w:gridCol w:w="10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9" w:type="dxa"/>
            <w:gridSpan w:val="2"/>
          </w:tcPr>
          <w:p>
            <w:pPr>
              <w:jc w:val="center"/>
              <w:rPr>
                <w:rFonts w:ascii="宋体" w:hAnsi="宋体"/>
                <w:b/>
                <w:color w:val="000000" w:themeColor="text1"/>
                <w:sz w:val="20"/>
                <w:szCs w:val="20"/>
                <w14:textFill>
                  <w14:solidFill>
                    <w14:schemeClr w14:val="tx1"/>
                  </w14:solidFill>
                </w14:textFill>
              </w:rPr>
            </w:pPr>
            <w:r>
              <w:rPr>
                <w:rFonts w:hint="eastAsia" w:ascii="宋体" w:hAnsi="宋体"/>
                <w:b/>
                <w:color w:val="000000" w:themeColor="text1"/>
                <w:sz w:val="20"/>
                <w:szCs w:val="20"/>
                <w14:textFill>
                  <w14:solidFill>
                    <w14:schemeClr w14:val="tx1"/>
                  </w14:solidFill>
                </w14:textFill>
              </w:rPr>
              <w:t>单项选择题</w:t>
            </w:r>
          </w:p>
        </w:tc>
        <w:tc>
          <w:tcPr>
            <w:tcW w:w="4111" w:type="dxa"/>
            <w:gridSpan w:val="2"/>
          </w:tcPr>
          <w:p>
            <w:pPr>
              <w:pStyle w:val="6"/>
              <w:adjustRightInd w:val="0"/>
              <w:snapToGrid w:val="0"/>
              <w:spacing w:after="0" w:line="360" w:lineRule="exact"/>
              <w:ind w:firstLine="0" w:firstLineChars="0"/>
              <w:jc w:val="center"/>
              <w:rPr>
                <w:rFonts w:ascii="宋体" w:hAnsi="宋体"/>
                <w:b/>
                <w:color w:val="000000" w:themeColor="text1"/>
                <w:kern w:val="2"/>
                <w:sz w:val="20"/>
                <w:szCs w:val="20"/>
                <w14:textFill>
                  <w14:solidFill>
                    <w14:schemeClr w14:val="tx1"/>
                  </w14:solidFill>
                </w14:textFill>
              </w:rPr>
            </w:pPr>
            <w:r>
              <w:rPr>
                <w:rFonts w:hint="eastAsia" w:ascii="宋体" w:hAnsi="宋体"/>
                <w:b/>
                <w:color w:val="000000" w:themeColor="text1"/>
                <w:kern w:val="2"/>
                <w:sz w:val="20"/>
                <w:szCs w:val="20"/>
                <w14:textFill>
                  <w14:solidFill>
                    <w14:schemeClr w14:val="tx1"/>
                  </w14:solidFill>
                </w14:textFill>
              </w:rPr>
              <w:t>题干</w:t>
            </w:r>
          </w:p>
        </w:tc>
        <w:tc>
          <w:tcPr>
            <w:tcW w:w="1083" w:type="dxa"/>
          </w:tcPr>
          <w:p>
            <w:pPr>
              <w:spacing w:line="340" w:lineRule="exact"/>
              <w:jc w:val="center"/>
              <w:rPr>
                <w:rFonts w:asciiTheme="minorEastAsia" w:hAnsiTheme="minorEastAsia" w:eastAsiaTheme="minorEastAsia"/>
                <w:b/>
                <w:caps/>
                <w:color w:val="000000" w:themeColor="text1"/>
                <w:sz w:val="20"/>
                <w:szCs w:val="20"/>
                <w14:textFill>
                  <w14:solidFill>
                    <w14:schemeClr w14:val="tx1"/>
                  </w14:solidFill>
                </w14:textFill>
              </w:rPr>
            </w:pPr>
            <w:r>
              <w:rPr>
                <w:rFonts w:asciiTheme="minorEastAsia" w:hAnsiTheme="minorEastAsia" w:eastAsiaTheme="minorEastAsia"/>
                <w:b/>
                <w:caps/>
                <w:color w:val="000000" w:themeColor="text1"/>
                <w:sz w:val="20"/>
                <w:szCs w:val="20"/>
                <w14:textFill>
                  <w14:solidFill>
                    <w14:schemeClr w14:val="tx1"/>
                  </w14:solidFill>
                </w14:textFill>
              </w:rPr>
              <w:t>参考答案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9" w:type="dxa"/>
            <w:gridSpan w:val="2"/>
          </w:tcPr>
          <w:p>
            <w:pPr>
              <w:rPr>
                <w:rFonts w:asci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《网络借贷信息中介机构业务活动管理暂行办法》由中国银监会、工业和信息化部、公安部等部门联合制定，经国务院批准，于</w:t>
            </w:r>
            <w:r>
              <w:rPr>
                <w:rFonts w:ascii="宋体" w:hAnsi="宋体"/>
                <w:color w:val="000000" w:themeColor="text1"/>
                <w:sz w:val="20"/>
                <w:szCs w:val="20"/>
                <w14:textFill>
                  <w14:solidFill>
                    <w14:schemeClr w14:val="tx1"/>
                  </w14:solidFill>
                </w14:textFill>
              </w:rPr>
              <w:t>2016</w:t>
            </w:r>
            <w:r>
              <w:rPr>
                <w:rFonts w:hint="eastAsia" w:ascii="宋体" w:hAnsi="宋体"/>
                <w:color w:val="000000" w:themeColor="text1"/>
                <w:sz w:val="20"/>
                <w:szCs w:val="20"/>
                <w14:textFill>
                  <w14:solidFill>
                    <w14:schemeClr w14:val="tx1"/>
                  </w14:solidFill>
                </w14:textFill>
              </w:rPr>
              <w:t>年</w:t>
            </w:r>
            <w:r>
              <w:rPr>
                <w:rFonts w:ascii="宋体" w:hAnsi="宋体"/>
                <w:color w:val="000000" w:themeColor="text1"/>
                <w:sz w:val="20"/>
                <w:szCs w:val="20"/>
                <w14:textFill>
                  <w14:solidFill>
                    <w14:schemeClr w14:val="tx1"/>
                  </w14:solidFill>
                </w14:textFill>
              </w:rPr>
              <w:t>8</w:t>
            </w:r>
            <w:r>
              <w:rPr>
                <w:rFonts w:hint="eastAsia" w:ascii="宋体" w:hAnsi="宋体"/>
                <w:color w:val="000000" w:themeColor="text1"/>
                <w:sz w:val="20"/>
                <w:szCs w:val="20"/>
                <w14:textFill>
                  <w14:solidFill>
                    <w14:schemeClr w14:val="tx1"/>
                  </w14:solidFill>
                </w14:textFill>
              </w:rPr>
              <w:t>月以部门令的方式公布。请问该办法属于哪一性质的规范？（</w:t>
            </w:r>
            <w:r>
              <w:rPr>
                <w:rFonts w:ascii="宋体" w:hAnsi="宋体"/>
                <w:color w:val="000000" w:themeColor="text1"/>
                <w:sz w:val="20"/>
                <w:szCs w:val="20"/>
                <w14:textFill>
                  <w14:solidFill>
                    <w14:schemeClr w14:val="tx1"/>
                  </w14:solidFill>
                </w14:textFill>
              </w:rPr>
              <w:t xml:space="preserve">   </w:t>
            </w:r>
            <w:r>
              <w:rPr>
                <w:rFonts w:hint="eastAsia" w:ascii="宋体" w:hAnsi="宋体"/>
                <w:color w:val="000000" w:themeColor="text1"/>
                <w:sz w:val="20"/>
                <w:szCs w:val="20"/>
                <w14:textFill>
                  <w14:solidFill>
                    <w14:schemeClr w14:val="tx1"/>
                  </w14:solidFill>
                </w14:textFill>
              </w:rPr>
              <w:t>）</w:t>
            </w:r>
          </w:p>
        </w:tc>
        <w:tc>
          <w:tcPr>
            <w:tcW w:w="4111" w:type="dxa"/>
            <w:gridSpan w:val="2"/>
          </w:tcPr>
          <w:p>
            <w:pPr>
              <w:pStyle w:val="6"/>
              <w:numPr>
                <w:ilvl w:val="0"/>
                <w:numId w:val="1"/>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国务院的决定</w:t>
            </w:r>
          </w:p>
          <w:p>
            <w:pPr>
              <w:pStyle w:val="6"/>
              <w:numPr>
                <w:ilvl w:val="0"/>
                <w:numId w:val="1"/>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行政法规</w:t>
            </w:r>
          </w:p>
          <w:p>
            <w:pPr>
              <w:pStyle w:val="6"/>
              <w:numPr>
                <w:ilvl w:val="0"/>
                <w:numId w:val="1"/>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规章</w:t>
            </w:r>
          </w:p>
          <w:p>
            <w:pPr>
              <w:pStyle w:val="6"/>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ascii="宋体" w:hAnsi="宋体"/>
                <w:color w:val="000000" w:themeColor="text1"/>
                <w:kern w:val="2"/>
                <w:sz w:val="20"/>
                <w:szCs w:val="20"/>
                <w14:textFill>
                  <w14:solidFill>
                    <w14:schemeClr w14:val="tx1"/>
                  </w14:solidFill>
                </w14:textFill>
              </w:rPr>
              <w:t>D.</w:t>
            </w:r>
            <w:r>
              <w:rPr>
                <w:rFonts w:hint="eastAsia" w:ascii="宋体" w:hAnsi="宋体"/>
                <w:color w:val="000000" w:themeColor="text1"/>
                <w:kern w:val="2"/>
                <w:sz w:val="20"/>
                <w:szCs w:val="20"/>
                <w14:textFill>
                  <w14:solidFill>
                    <w14:schemeClr w14:val="tx1"/>
                  </w14:solidFill>
                </w14:textFill>
              </w:rPr>
              <w:t>单行条例</w:t>
            </w:r>
          </w:p>
        </w:tc>
        <w:tc>
          <w:tcPr>
            <w:tcW w:w="1083" w:type="dxa"/>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9" w:type="dxa"/>
            <w:gridSpan w:val="2"/>
          </w:tcPr>
          <w:p>
            <w:pPr>
              <w:snapToGrid w:val="0"/>
              <w:spacing w:line="340" w:lineRule="exact"/>
              <w:rPr>
                <w:rFonts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北京市海淀区公安分局东升派出所因郑某散布谣言，对其处以300元罚款。郑某不服，申请行政复议，本案的复议机关为（   ）。</w:t>
            </w:r>
          </w:p>
        </w:tc>
        <w:tc>
          <w:tcPr>
            <w:tcW w:w="4111" w:type="dxa"/>
            <w:gridSpan w:val="2"/>
          </w:tcPr>
          <w:p>
            <w:pPr>
              <w:pStyle w:val="6"/>
              <w:numPr>
                <w:ilvl w:val="0"/>
                <w:numId w:val="2"/>
              </w:numPr>
              <w:adjustRightInd w:val="0"/>
              <w:snapToGrid w:val="0"/>
              <w:spacing w:after="0" w:line="360" w:lineRule="exact"/>
              <w:ind w:firstLine="0" w:firstLineChars="0"/>
              <w:rPr>
                <w:rFonts w:ascii="宋体" w:hAns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海淀区公安分局或海淀区人民政府</w:t>
            </w:r>
          </w:p>
          <w:p>
            <w:pPr>
              <w:pStyle w:val="6"/>
              <w:numPr>
                <w:ilvl w:val="0"/>
                <w:numId w:val="2"/>
              </w:numPr>
              <w:adjustRightInd w:val="0"/>
              <w:snapToGrid w:val="0"/>
              <w:spacing w:after="0" w:line="360" w:lineRule="exact"/>
              <w:ind w:firstLine="0" w:firstLineChars="0"/>
              <w:rPr>
                <w:rFonts w:ascii="宋体" w:hAns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海淀区公安分局或北京市人民政府</w:t>
            </w:r>
          </w:p>
          <w:p>
            <w:pPr>
              <w:pStyle w:val="6"/>
              <w:numPr>
                <w:ilvl w:val="0"/>
                <w:numId w:val="2"/>
              </w:numPr>
              <w:adjustRightInd w:val="0"/>
              <w:snapToGrid w:val="0"/>
              <w:spacing w:after="0" w:line="360" w:lineRule="exact"/>
              <w:ind w:firstLine="0" w:firstLineChars="0"/>
              <w:rPr>
                <w:rFonts w:ascii="宋体" w:hAns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北京市公安局或海淀区人民政府</w:t>
            </w:r>
          </w:p>
          <w:p>
            <w:pPr>
              <w:pStyle w:val="6"/>
              <w:numPr>
                <w:ilvl w:val="0"/>
                <w:numId w:val="2"/>
              </w:numPr>
              <w:adjustRightInd w:val="0"/>
              <w:snapToGrid w:val="0"/>
              <w:spacing w:after="0" w:line="360" w:lineRule="exact"/>
              <w:ind w:firstLine="0" w:firstLineChars="0"/>
              <w:rPr>
                <w:rFonts w:ascii="宋体" w:hAns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北京市公安局或北京市人民政府</w:t>
            </w:r>
          </w:p>
        </w:tc>
        <w:tc>
          <w:tcPr>
            <w:tcW w:w="1083" w:type="dxa"/>
            <w:vAlign w:val="center"/>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hint="eastAsia" w:asciiTheme="minorEastAsia" w:hAnsiTheme="minorEastAsia" w:eastAsiaTheme="minorEastAsia"/>
                <w:caps/>
                <w:color w:val="000000" w:themeColor="text1"/>
                <w:sz w:val="20"/>
                <w:szCs w:val="20"/>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村民甲与乙因宅基地发生纠纷，镇政府对此进行了处理，确认甲对该宅基地享有使用权。乙对镇政府的行为不服，可以（</w:t>
            </w:r>
            <w:r>
              <w:rPr>
                <w:rFonts w:ascii="宋体" w:hAnsi="宋体"/>
                <w:caps/>
                <w:color w:val="000000" w:themeColor="text1"/>
                <w:kern w:val="2"/>
                <w:sz w:val="20"/>
                <w:szCs w:val="20"/>
                <w14:textFill>
                  <w14:solidFill>
                    <w14:schemeClr w14:val="tx1"/>
                  </w14:solidFill>
                </w14:textFill>
              </w:rPr>
              <w:t xml:space="preserve">   </w:t>
            </w:r>
            <w:r>
              <w:rPr>
                <w:rFonts w:hint="eastAsia" w:ascii="宋体" w:hAnsi="宋体"/>
                <w:caps/>
                <w:color w:val="000000" w:themeColor="text1"/>
                <w:kern w:val="2"/>
                <w:sz w:val="20"/>
                <w:szCs w:val="20"/>
                <w14:textFill>
                  <w14:solidFill>
                    <w14:schemeClr w14:val="tx1"/>
                  </w14:solidFill>
                </w14:textFill>
              </w:rPr>
              <w:t>）。</w:t>
            </w:r>
          </w:p>
        </w:tc>
        <w:tc>
          <w:tcPr>
            <w:tcW w:w="4111" w:type="dxa"/>
            <w:gridSpan w:val="2"/>
          </w:tcPr>
          <w:p>
            <w:pPr>
              <w:pStyle w:val="6"/>
              <w:numPr>
                <w:ilvl w:val="0"/>
                <w:numId w:val="3"/>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向镇政府申请行政复议</w:t>
            </w:r>
          </w:p>
          <w:p>
            <w:pPr>
              <w:pStyle w:val="6"/>
              <w:numPr>
                <w:ilvl w:val="0"/>
                <w:numId w:val="3"/>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向县政府申请行政复议</w:t>
            </w:r>
          </w:p>
          <w:p>
            <w:pPr>
              <w:pStyle w:val="6"/>
              <w:numPr>
                <w:ilvl w:val="0"/>
                <w:numId w:val="3"/>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向县土地管理局申请行政复议</w:t>
            </w:r>
          </w:p>
          <w:p>
            <w:pPr>
              <w:pStyle w:val="6"/>
              <w:numPr>
                <w:ilvl w:val="0"/>
                <w:numId w:val="3"/>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向人民法院提起民事诉讼</w:t>
            </w:r>
          </w:p>
        </w:tc>
        <w:tc>
          <w:tcPr>
            <w:tcW w:w="1100" w:type="dxa"/>
            <w:gridSpan w:val="2"/>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吊销营业执照，属于行政处罚中的（</w:t>
            </w:r>
            <w:r>
              <w:rPr>
                <w:rFonts w:ascii="宋体" w:hAnsi="宋体"/>
                <w:caps/>
                <w:color w:val="000000" w:themeColor="text1"/>
                <w:kern w:val="2"/>
                <w:sz w:val="20"/>
                <w:szCs w:val="20"/>
                <w14:textFill>
                  <w14:solidFill>
                    <w14:schemeClr w14:val="tx1"/>
                  </w14:solidFill>
                </w14:textFill>
              </w:rPr>
              <w:t xml:space="preserve">   </w:t>
            </w:r>
            <w:r>
              <w:rPr>
                <w:rFonts w:hint="eastAsia" w:ascii="宋体" w:hAnsi="宋体"/>
                <w:caps/>
                <w:color w:val="000000" w:themeColor="text1"/>
                <w:kern w:val="2"/>
                <w:sz w:val="20"/>
                <w:szCs w:val="20"/>
                <w14:textFill>
                  <w14:solidFill>
                    <w14:schemeClr w14:val="tx1"/>
                  </w14:solidFill>
                </w14:textFill>
              </w:rPr>
              <w:t>）。</w:t>
            </w:r>
          </w:p>
        </w:tc>
        <w:tc>
          <w:tcPr>
            <w:tcW w:w="4111" w:type="dxa"/>
            <w:gridSpan w:val="2"/>
          </w:tcPr>
          <w:p>
            <w:pPr>
              <w:pStyle w:val="6"/>
              <w:numPr>
                <w:ilvl w:val="0"/>
                <w:numId w:val="4"/>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声誉罚</w:t>
            </w:r>
          </w:p>
          <w:p>
            <w:pPr>
              <w:pStyle w:val="6"/>
              <w:numPr>
                <w:ilvl w:val="0"/>
                <w:numId w:val="4"/>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行为罚</w:t>
            </w:r>
          </w:p>
          <w:p>
            <w:pPr>
              <w:pStyle w:val="6"/>
              <w:numPr>
                <w:ilvl w:val="0"/>
                <w:numId w:val="4"/>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财产罚</w:t>
            </w:r>
          </w:p>
          <w:p>
            <w:pPr>
              <w:pStyle w:val="6"/>
              <w:numPr>
                <w:ilvl w:val="0"/>
                <w:numId w:val="4"/>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人身罚</w:t>
            </w:r>
          </w:p>
        </w:tc>
        <w:tc>
          <w:tcPr>
            <w:tcW w:w="1100" w:type="dxa"/>
            <w:gridSpan w:val="2"/>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pStyle w:val="6"/>
              <w:adjustRightInd w:val="0"/>
              <w:snapToGrid w:val="0"/>
              <w:spacing w:after="0" w:line="360" w:lineRule="exact"/>
              <w:ind w:firstLine="0" w:firstLineChars="0"/>
              <w:rPr>
                <w:rFonts w:ascii="宋体" w:hAnsi="宋体"/>
                <w:caps/>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对某省人民政府作出的具体行政行为不服，可以向（</w:t>
            </w:r>
            <w:r>
              <w:rPr>
                <w:rFonts w:ascii="宋体" w:hAnsi="宋体"/>
                <w:caps/>
                <w:color w:val="000000" w:themeColor="text1"/>
                <w:kern w:val="2"/>
                <w:sz w:val="20"/>
                <w:szCs w:val="20"/>
                <w14:textFill>
                  <w14:solidFill>
                    <w14:schemeClr w14:val="tx1"/>
                  </w14:solidFill>
                </w14:textFill>
              </w:rPr>
              <w:t xml:space="preserve">   </w:t>
            </w:r>
            <w:r>
              <w:rPr>
                <w:rFonts w:hint="eastAsia" w:ascii="宋体" w:hAnsi="宋体"/>
                <w:caps/>
                <w:color w:val="000000" w:themeColor="text1"/>
                <w:kern w:val="2"/>
                <w:sz w:val="20"/>
                <w:szCs w:val="20"/>
                <w14:textFill>
                  <w14:solidFill>
                    <w14:schemeClr w14:val="tx1"/>
                  </w14:solidFill>
                </w14:textFill>
              </w:rPr>
              <w:t>）申请行政复议。</w:t>
            </w:r>
            <w:r>
              <w:rPr>
                <w:rFonts w:ascii="宋体" w:hAnsi="宋体"/>
                <w:caps/>
                <w:color w:val="000000" w:themeColor="text1"/>
                <w:kern w:val="2"/>
                <w:sz w:val="20"/>
                <w:szCs w:val="20"/>
                <w14:textFill>
                  <w14:solidFill>
                    <w14:schemeClr w14:val="tx1"/>
                  </w14:solidFill>
                </w14:textFill>
              </w:rPr>
              <w:t xml:space="preserve"> </w:t>
            </w:r>
          </w:p>
        </w:tc>
        <w:tc>
          <w:tcPr>
            <w:tcW w:w="4111" w:type="dxa"/>
            <w:gridSpan w:val="2"/>
          </w:tcPr>
          <w:p>
            <w:pPr>
              <w:pStyle w:val="6"/>
              <w:numPr>
                <w:ilvl w:val="0"/>
                <w:numId w:val="5"/>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国务院</w:t>
            </w:r>
          </w:p>
          <w:p>
            <w:pPr>
              <w:pStyle w:val="6"/>
              <w:numPr>
                <w:ilvl w:val="0"/>
                <w:numId w:val="5"/>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国务院法制办</w:t>
            </w:r>
          </w:p>
          <w:p>
            <w:pPr>
              <w:pStyle w:val="6"/>
              <w:numPr>
                <w:ilvl w:val="0"/>
                <w:numId w:val="5"/>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该省人民政府</w:t>
            </w:r>
          </w:p>
          <w:p>
            <w:pPr>
              <w:pStyle w:val="6"/>
              <w:numPr>
                <w:ilvl w:val="0"/>
                <w:numId w:val="5"/>
              </w:numPr>
              <w:adjustRightInd w:val="0"/>
              <w:snapToGrid w:val="0"/>
              <w:spacing w:after="0" w:line="360" w:lineRule="exact"/>
              <w:ind w:firstLine="0" w:firstLineChars="0"/>
              <w:rPr>
                <w:rFonts w:ascii="宋体"/>
                <w:color w:val="000000" w:themeColor="text1"/>
                <w:kern w:val="2"/>
                <w:sz w:val="20"/>
                <w:szCs w:val="20"/>
                <w:lang w:val="es-ES"/>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该省人大常委会</w:t>
            </w:r>
          </w:p>
        </w:tc>
        <w:tc>
          <w:tcPr>
            <w:tcW w:w="1100" w:type="dxa"/>
            <w:gridSpan w:val="2"/>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9" w:type="dxa"/>
            <w:gridSpan w:val="2"/>
          </w:tcPr>
          <w:p>
            <w:pPr>
              <w:snapToGrid w:val="0"/>
              <w:spacing w:line="340" w:lineRule="exact"/>
              <w:rPr>
                <w:rFonts w:ascii="Times New Roman" w:hAnsi="Times New Roman"/>
                <w:color w:val="000000" w:themeColor="text1"/>
                <w:sz w:val="20"/>
                <w:szCs w:val="20"/>
                <w14:textFill>
                  <w14:solidFill>
                    <w14:schemeClr w14:val="tx1"/>
                  </w14:solidFill>
                </w14:textFill>
              </w:rPr>
            </w:pPr>
            <w:r>
              <w:rPr>
                <w:rFonts w:ascii="Times New Roman" w:hAnsi="Times New Roman"/>
                <w:color w:val="000000" w:themeColor="text1"/>
                <w:sz w:val="20"/>
                <w:szCs w:val="20"/>
                <w14:textFill>
                  <w14:solidFill>
                    <w14:schemeClr w14:val="tx1"/>
                  </w14:solidFill>
                </w14:textFill>
              </w:rPr>
              <w:t>根据《公务员法》的规定，下列人员中属于公务员的是（   ）。</w:t>
            </w:r>
          </w:p>
        </w:tc>
        <w:tc>
          <w:tcPr>
            <w:tcW w:w="4111" w:type="dxa"/>
            <w:gridSpan w:val="2"/>
            <w:vAlign w:val="center"/>
          </w:tcPr>
          <w:p>
            <w:pPr>
              <w:pStyle w:val="6"/>
              <w:adjustRightInd w:val="0"/>
              <w:snapToGrid w:val="0"/>
              <w:spacing w:after="0" w:line="360" w:lineRule="exact"/>
              <w:ind w:firstLine="0" w:firstLineChars="0"/>
              <w:rPr>
                <w:rFonts w:ascii="Times New Roman" w:hAnsi="Times New Roman"/>
                <w:color w:val="000000" w:themeColor="text1"/>
                <w:sz w:val="20"/>
                <w14:textFill>
                  <w14:solidFill>
                    <w14:schemeClr w14:val="tx1"/>
                  </w14:solidFill>
                </w14:textFill>
              </w:rPr>
            </w:pPr>
            <w:r>
              <w:rPr>
                <w:rFonts w:ascii="Times New Roman" w:hAnsi="Times New Roman"/>
                <w:color w:val="000000" w:themeColor="text1"/>
                <w:sz w:val="20"/>
                <w14:textFill>
                  <w14:solidFill>
                    <w14:schemeClr w14:val="tx1"/>
                  </w14:solidFill>
                </w14:textFill>
              </w:rPr>
              <w:t>A.某小学校长</w:t>
            </w:r>
          </w:p>
          <w:p>
            <w:pPr>
              <w:pStyle w:val="6"/>
              <w:adjustRightInd w:val="0"/>
              <w:snapToGrid w:val="0"/>
              <w:spacing w:after="0" w:line="360" w:lineRule="exact"/>
              <w:ind w:firstLine="0" w:firstLineChars="0"/>
              <w:rPr>
                <w:rFonts w:ascii="Times New Roman" w:hAnsi="Times New Roman"/>
                <w:color w:val="000000" w:themeColor="text1"/>
                <w:sz w:val="20"/>
                <w14:textFill>
                  <w14:solidFill>
                    <w14:schemeClr w14:val="tx1"/>
                  </w14:solidFill>
                </w14:textFill>
              </w:rPr>
            </w:pPr>
            <w:r>
              <w:rPr>
                <w:rFonts w:ascii="Times New Roman" w:hAnsi="Times New Roman"/>
                <w:color w:val="000000" w:themeColor="text1"/>
                <w:sz w:val="20"/>
                <w14:textFill>
                  <w14:solidFill>
                    <w14:schemeClr w14:val="tx1"/>
                  </w14:solidFill>
                </w14:textFill>
              </w:rPr>
              <w:t>B.某民营企业总经理</w:t>
            </w:r>
          </w:p>
          <w:p>
            <w:pPr>
              <w:pStyle w:val="6"/>
              <w:adjustRightInd w:val="0"/>
              <w:snapToGrid w:val="0"/>
              <w:spacing w:after="0" w:line="360" w:lineRule="exact"/>
              <w:ind w:firstLine="0" w:firstLineChars="0"/>
              <w:rPr>
                <w:rFonts w:ascii="Times New Roman" w:hAnsi="Times New Roman"/>
                <w:color w:val="000000" w:themeColor="text1"/>
                <w:sz w:val="20"/>
                <w14:textFill>
                  <w14:solidFill>
                    <w14:schemeClr w14:val="tx1"/>
                  </w14:solidFill>
                </w14:textFill>
              </w:rPr>
            </w:pPr>
            <w:r>
              <w:rPr>
                <w:rFonts w:ascii="Times New Roman" w:hAnsi="Times New Roman"/>
                <w:color w:val="000000" w:themeColor="text1"/>
                <w:sz w:val="20"/>
                <w14:textFill>
                  <w14:solidFill>
                    <w14:schemeClr w14:val="tx1"/>
                  </w14:solidFill>
                </w14:textFill>
              </w:rPr>
              <w:t>C.最高人民法院法官</w:t>
            </w:r>
          </w:p>
          <w:p>
            <w:pPr>
              <w:spacing w:line="340" w:lineRule="exact"/>
              <w:rPr>
                <w:rFonts w:ascii="Times New Roman" w:hAnsi="Times New Roman"/>
                <w:caps/>
                <w:color w:val="000000" w:themeColor="text1"/>
                <w:sz w:val="20"/>
                <w:szCs w:val="20"/>
                <w14:textFill>
                  <w14:solidFill>
                    <w14:schemeClr w14:val="tx1"/>
                  </w14:solidFill>
                </w14:textFill>
              </w:rPr>
            </w:pPr>
            <w:r>
              <w:rPr>
                <w:rFonts w:ascii="Times New Roman" w:hAnsi="Times New Roman"/>
                <w:color w:val="000000" w:themeColor="text1"/>
                <w:sz w:val="20"/>
                <w:szCs w:val="20"/>
                <w14:textFill>
                  <w14:solidFill>
                    <w14:schemeClr w14:val="tx1"/>
                  </w14:solidFill>
                </w14:textFill>
              </w:rPr>
              <w:t>D.全国纺织企业管理协会会长</w:t>
            </w:r>
          </w:p>
        </w:tc>
        <w:tc>
          <w:tcPr>
            <w:tcW w:w="1083" w:type="dxa"/>
            <w:vAlign w:val="center"/>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9" w:type="dxa"/>
            <w:gridSpan w:val="2"/>
          </w:tcPr>
          <w:p>
            <w:pPr>
              <w:snapToGrid w:val="0"/>
              <w:spacing w:line="340" w:lineRule="exact"/>
              <w:rPr>
                <w:rFonts w:ascii="Times New Roman" w:hAnsi="Times New Roman"/>
                <w:color w:val="000000" w:themeColor="text1"/>
                <w:sz w:val="20"/>
                <w:szCs w:val="20"/>
                <w14:textFill>
                  <w14:solidFill>
                    <w14:schemeClr w14:val="tx1"/>
                  </w14:solidFill>
                </w14:textFill>
              </w:rPr>
            </w:pPr>
            <w:r>
              <w:rPr>
                <w:rFonts w:ascii="Times New Roman" w:hAnsi="Times New Roman"/>
                <w:color w:val="000000" w:themeColor="text1"/>
                <w:sz w:val="20"/>
                <w:szCs w:val="20"/>
                <w14:textFill>
                  <w14:solidFill>
                    <w14:schemeClr w14:val="tx1"/>
                  </w14:solidFill>
                </w14:textFill>
              </w:rPr>
              <w:t>根据《立法法》的规定，下列选项中都属于规章制定主体的是（   ）。</w:t>
            </w:r>
          </w:p>
          <w:p>
            <w:pPr>
              <w:snapToGrid w:val="0"/>
              <w:spacing w:line="340" w:lineRule="exact"/>
              <w:rPr>
                <w:rFonts w:ascii="Times New Roman" w:hAnsi="Times New Roman"/>
                <w:color w:val="000000" w:themeColor="text1"/>
                <w:sz w:val="20"/>
                <w:szCs w:val="20"/>
                <w14:textFill>
                  <w14:solidFill>
                    <w14:schemeClr w14:val="tx1"/>
                  </w14:solidFill>
                </w14:textFill>
              </w:rPr>
            </w:pPr>
            <w:r>
              <w:rPr>
                <w:rFonts w:ascii="Times New Roman" w:hAnsi="Times New Roman"/>
                <w:color w:val="000000" w:themeColor="text1"/>
                <w:sz w:val="20"/>
                <w:szCs w:val="20"/>
                <w14:textFill>
                  <w14:solidFill>
                    <w14:schemeClr w14:val="tx1"/>
                  </w14:solidFill>
                </w14:textFill>
              </w:rPr>
              <w:fldChar w:fldCharType="begin"/>
            </w:r>
            <w:r>
              <w:rPr>
                <w:rFonts w:ascii="Times New Roman" w:hAnsi="Times New Roman"/>
                <w:color w:val="000000" w:themeColor="text1"/>
                <w:sz w:val="20"/>
                <w:szCs w:val="20"/>
                <w14:textFill>
                  <w14:solidFill>
                    <w14:schemeClr w14:val="tx1"/>
                  </w14:solidFill>
                </w14:textFill>
              </w:rPr>
              <w:instrText xml:space="preserve"> = 1 \* GB3 \* MERGEFORMAT </w:instrText>
            </w:r>
            <w:r>
              <w:rPr>
                <w:rFonts w:ascii="Times New Roman" w:hAnsi="Times New Roman"/>
                <w:color w:val="000000" w:themeColor="text1"/>
                <w:sz w:val="20"/>
                <w:szCs w:val="20"/>
                <w14:textFill>
                  <w14:solidFill>
                    <w14:schemeClr w14:val="tx1"/>
                  </w14:solidFill>
                </w14:textFill>
              </w:rPr>
              <w:fldChar w:fldCharType="separate"/>
            </w:r>
            <w:r>
              <w:rPr>
                <w:rFonts w:hint="eastAsia" w:ascii="宋体" w:hAnsi="宋体" w:cs="宋体"/>
                <w:color w:val="000000" w:themeColor="text1"/>
                <w:sz w:val="20"/>
                <w:szCs w:val="20"/>
                <w14:textFill>
                  <w14:solidFill>
                    <w14:schemeClr w14:val="tx1"/>
                  </w14:solidFill>
                </w14:textFill>
              </w:rPr>
              <w:t>①</w:t>
            </w:r>
            <w:r>
              <w:rPr>
                <w:rFonts w:ascii="Times New Roman" w:hAnsi="Times New Roman"/>
                <w:color w:val="000000" w:themeColor="text1"/>
                <w:sz w:val="20"/>
                <w:szCs w:val="20"/>
                <w14:textFill>
                  <w14:solidFill>
                    <w14:schemeClr w14:val="tx1"/>
                  </w14:solidFill>
                </w14:textFill>
              </w:rPr>
              <w:fldChar w:fldCharType="end"/>
            </w:r>
            <w:r>
              <w:rPr>
                <w:rFonts w:ascii="Times New Roman" w:hAnsi="Times New Roman"/>
                <w:color w:val="000000" w:themeColor="text1"/>
                <w:sz w:val="20"/>
                <w:szCs w:val="20"/>
                <w14:textFill>
                  <w14:solidFill>
                    <w14:schemeClr w14:val="tx1"/>
                  </w14:solidFill>
                </w14:textFill>
              </w:rPr>
              <w:t>国务院</w:t>
            </w:r>
          </w:p>
          <w:p>
            <w:pPr>
              <w:snapToGrid w:val="0"/>
              <w:spacing w:line="340" w:lineRule="exact"/>
              <w:rPr>
                <w:rFonts w:ascii="Times New Roman" w:hAnsi="Times New Roman"/>
                <w:color w:val="000000" w:themeColor="text1"/>
                <w:sz w:val="20"/>
                <w:szCs w:val="20"/>
                <w14:textFill>
                  <w14:solidFill>
                    <w14:schemeClr w14:val="tx1"/>
                  </w14:solidFill>
                </w14:textFill>
              </w:rPr>
            </w:pPr>
            <w:r>
              <w:rPr>
                <w:rFonts w:ascii="Times New Roman" w:hAnsi="Times New Roman"/>
                <w:color w:val="000000" w:themeColor="text1"/>
                <w:sz w:val="20"/>
                <w:szCs w:val="20"/>
                <w14:textFill>
                  <w14:solidFill>
                    <w14:schemeClr w14:val="tx1"/>
                  </w14:solidFill>
                </w14:textFill>
              </w:rPr>
              <w:fldChar w:fldCharType="begin"/>
            </w:r>
            <w:r>
              <w:rPr>
                <w:rFonts w:ascii="Times New Roman" w:hAnsi="Times New Roman"/>
                <w:color w:val="000000" w:themeColor="text1"/>
                <w:sz w:val="20"/>
                <w:szCs w:val="20"/>
                <w14:textFill>
                  <w14:solidFill>
                    <w14:schemeClr w14:val="tx1"/>
                  </w14:solidFill>
                </w14:textFill>
              </w:rPr>
              <w:instrText xml:space="preserve"> = 2 \* GB3 \* MERGEFORMAT </w:instrText>
            </w:r>
            <w:r>
              <w:rPr>
                <w:rFonts w:ascii="Times New Roman" w:hAnsi="Times New Roman"/>
                <w:color w:val="000000" w:themeColor="text1"/>
                <w:sz w:val="20"/>
                <w:szCs w:val="20"/>
                <w14:textFill>
                  <w14:solidFill>
                    <w14:schemeClr w14:val="tx1"/>
                  </w14:solidFill>
                </w14:textFill>
              </w:rPr>
              <w:fldChar w:fldCharType="separate"/>
            </w:r>
            <w:r>
              <w:rPr>
                <w:rFonts w:hint="eastAsia" w:ascii="宋体" w:hAnsi="宋体" w:cs="宋体"/>
                <w:color w:val="000000" w:themeColor="text1"/>
                <w:sz w:val="20"/>
                <w:szCs w:val="20"/>
                <w14:textFill>
                  <w14:solidFill>
                    <w14:schemeClr w14:val="tx1"/>
                  </w14:solidFill>
                </w14:textFill>
              </w:rPr>
              <w:t>②</w:t>
            </w:r>
            <w:r>
              <w:rPr>
                <w:rFonts w:ascii="Times New Roman" w:hAnsi="Times New Roman"/>
                <w:color w:val="000000" w:themeColor="text1"/>
                <w:sz w:val="20"/>
                <w:szCs w:val="20"/>
                <w14:textFill>
                  <w14:solidFill>
                    <w14:schemeClr w14:val="tx1"/>
                  </w14:solidFill>
                </w14:textFill>
              </w:rPr>
              <w:fldChar w:fldCharType="end"/>
            </w:r>
            <w:r>
              <w:rPr>
                <w:rFonts w:ascii="Times New Roman" w:hAnsi="Times New Roman"/>
                <w:color w:val="000000" w:themeColor="text1"/>
                <w:sz w:val="20"/>
                <w:szCs w:val="20"/>
                <w14:textFill>
                  <w14:solidFill>
                    <w14:schemeClr w14:val="tx1"/>
                  </w14:solidFill>
                </w14:textFill>
              </w:rPr>
              <w:t>国务院各部委</w:t>
            </w:r>
          </w:p>
          <w:p>
            <w:pPr>
              <w:snapToGrid w:val="0"/>
              <w:spacing w:line="340" w:lineRule="exact"/>
              <w:rPr>
                <w:rFonts w:ascii="Times New Roman" w:hAnsi="Times New Roman"/>
                <w:color w:val="000000" w:themeColor="text1"/>
                <w:sz w:val="20"/>
                <w:szCs w:val="20"/>
                <w14:textFill>
                  <w14:solidFill>
                    <w14:schemeClr w14:val="tx1"/>
                  </w14:solidFill>
                </w14:textFill>
              </w:rPr>
            </w:pPr>
            <w:r>
              <w:rPr>
                <w:rFonts w:ascii="Times New Roman" w:hAnsi="Times New Roman"/>
                <w:color w:val="000000" w:themeColor="text1"/>
                <w:sz w:val="20"/>
                <w:szCs w:val="20"/>
                <w14:textFill>
                  <w14:solidFill>
                    <w14:schemeClr w14:val="tx1"/>
                  </w14:solidFill>
                </w14:textFill>
              </w:rPr>
              <w:fldChar w:fldCharType="begin"/>
            </w:r>
            <w:r>
              <w:rPr>
                <w:rFonts w:ascii="Times New Roman" w:hAnsi="Times New Roman"/>
                <w:color w:val="000000" w:themeColor="text1"/>
                <w:sz w:val="20"/>
                <w:szCs w:val="20"/>
                <w14:textFill>
                  <w14:solidFill>
                    <w14:schemeClr w14:val="tx1"/>
                  </w14:solidFill>
                </w14:textFill>
              </w:rPr>
              <w:instrText xml:space="preserve"> = 3 \* GB3 \* MERGEFORMAT </w:instrText>
            </w:r>
            <w:r>
              <w:rPr>
                <w:rFonts w:ascii="Times New Roman" w:hAnsi="Times New Roman"/>
                <w:color w:val="000000" w:themeColor="text1"/>
                <w:sz w:val="20"/>
                <w:szCs w:val="20"/>
                <w14:textFill>
                  <w14:solidFill>
                    <w14:schemeClr w14:val="tx1"/>
                  </w14:solidFill>
                </w14:textFill>
              </w:rPr>
              <w:fldChar w:fldCharType="separate"/>
            </w:r>
            <w:r>
              <w:rPr>
                <w:rFonts w:hint="eastAsia" w:ascii="宋体" w:hAnsi="宋体" w:cs="宋体"/>
                <w:color w:val="000000" w:themeColor="text1"/>
                <w:sz w:val="20"/>
                <w:szCs w:val="20"/>
                <w14:textFill>
                  <w14:solidFill>
                    <w14:schemeClr w14:val="tx1"/>
                  </w14:solidFill>
                </w14:textFill>
              </w:rPr>
              <w:t>③</w:t>
            </w:r>
            <w:r>
              <w:rPr>
                <w:rFonts w:ascii="Times New Roman" w:hAnsi="Times New Roman"/>
                <w:color w:val="000000" w:themeColor="text1"/>
                <w:sz w:val="20"/>
                <w:szCs w:val="20"/>
                <w14:textFill>
                  <w14:solidFill>
                    <w14:schemeClr w14:val="tx1"/>
                  </w14:solidFill>
                </w14:textFill>
              </w:rPr>
              <w:fldChar w:fldCharType="end"/>
            </w:r>
            <w:r>
              <w:rPr>
                <w:rFonts w:ascii="Times New Roman" w:hAnsi="Times New Roman"/>
                <w:color w:val="000000" w:themeColor="text1"/>
                <w:sz w:val="20"/>
                <w:szCs w:val="20"/>
                <w14:textFill>
                  <w14:solidFill>
                    <w14:schemeClr w14:val="tx1"/>
                  </w14:solidFill>
                </w14:textFill>
              </w:rPr>
              <w:t>省级人大及其常委会</w:t>
            </w:r>
          </w:p>
          <w:p>
            <w:pPr>
              <w:snapToGrid w:val="0"/>
              <w:spacing w:line="340" w:lineRule="exact"/>
              <w:rPr>
                <w:rFonts w:ascii="Times New Roman" w:hAnsi="Times New Roman"/>
                <w:color w:val="000000" w:themeColor="text1"/>
                <w:sz w:val="20"/>
                <w:szCs w:val="20"/>
                <w14:textFill>
                  <w14:solidFill>
                    <w14:schemeClr w14:val="tx1"/>
                  </w14:solidFill>
                </w14:textFill>
              </w:rPr>
            </w:pPr>
            <w:r>
              <w:rPr>
                <w:rFonts w:ascii="Times New Roman" w:hAnsi="Times New Roman"/>
                <w:color w:val="000000" w:themeColor="text1"/>
                <w:sz w:val="20"/>
                <w:szCs w:val="20"/>
                <w14:textFill>
                  <w14:solidFill>
                    <w14:schemeClr w14:val="tx1"/>
                  </w14:solidFill>
                </w14:textFill>
              </w:rPr>
              <w:fldChar w:fldCharType="begin"/>
            </w:r>
            <w:r>
              <w:rPr>
                <w:rFonts w:ascii="Times New Roman" w:hAnsi="Times New Roman"/>
                <w:color w:val="000000" w:themeColor="text1"/>
                <w:sz w:val="20"/>
                <w:szCs w:val="20"/>
                <w14:textFill>
                  <w14:solidFill>
                    <w14:schemeClr w14:val="tx1"/>
                  </w14:solidFill>
                </w14:textFill>
              </w:rPr>
              <w:instrText xml:space="preserve"> = 4 \* GB3 \* MERGEFORMAT </w:instrText>
            </w:r>
            <w:r>
              <w:rPr>
                <w:rFonts w:ascii="Times New Roman" w:hAnsi="Times New Roman"/>
                <w:color w:val="000000" w:themeColor="text1"/>
                <w:sz w:val="20"/>
                <w:szCs w:val="20"/>
                <w14:textFill>
                  <w14:solidFill>
                    <w14:schemeClr w14:val="tx1"/>
                  </w14:solidFill>
                </w14:textFill>
              </w:rPr>
              <w:fldChar w:fldCharType="separate"/>
            </w:r>
            <w:r>
              <w:rPr>
                <w:rFonts w:hint="eastAsia" w:ascii="宋体" w:hAnsi="宋体" w:cs="宋体"/>
                <w:color w:val="000000" w:themeColor="text1"/>
                <w:sz w:val="20"/>
                <w:szCs w:val="20"/>
                <w14:textFill>
                  <w14:solidFill>
                    <w14:schemeClr w14:val="tx1"/>
                  </w14:solidFill>
                </w14:textFill>
              </w:rPr>
              <w:t>④</w:t>
            </w:r>
            <w:r>
              <w:rPr>
                <w:rFonts w:ascii="Times New Roman" w:hAnsi="Times New Roman"/>
                <w:color w:val="000000" w:themeColor="text1"/>
                <w:sz w:val="20"/>
                <w:szCs w:val="20"/>
                <w14:textFill>
                  <w14:solidFill>
                    <w14:schemeClr w14:val="tx1"/>
                  </w14:solidFill>
                </w14:textFill>
              </w:rPr>
              <w:fldChar w:fldCharType="end"/>
            </w:r>
            <w:r>
              <w:rPr>
                <w:rFonts w:ascii="Times New Roman" w:hAnsi="Times New Roman"/>
                <w:color w:val="000000" w:themeColor="text1"/>
                <w:sz w:val="20"/>
                <w:szCs w:val="20"/>
                <w14:textFill>
                  <w14:solidFill>
                    <w14:schemeClr w14:val="tx1"/>
                  </w14:solidFill>
                </w14:textFill>
              </w:rPr>
              <w:t>省级人民政府</w:t>
            </w:r>
          </w:p>
        </w:tc>
        <w:tc>
          <w:tcPr>
            <w:tcW w:w="4111" w:type="dxa"/>
            <w:gridSpan w:val="2"/>
            <w:vAlign w:val="center"/>
          </w:tcPr>
          <w:p>
            <w:pPr>
              <w:pStyle w:val="6"/>
              <w:adjustRightInd w:val="0"/>
              <w:snapToGrid w:val="0"/>
              <w:spacing w:after="0" w:line="360" w:lineRule="exact"/>
              <w:ind w:firstLine="0" w:firstLineChars="0"/>
              <w:rPr>
                <w:rFonts w:ascii="Times New Roman" w:hAnsi="Times New Roman"/>
                <w:color w:val="000000" w:themeColor="text1"/>
                <w:sz w:val="20"/>
                <w14:textFill>
                  <w14:solidFill>
                    <w14:schemeClr w14:val="tx1"/>
                  </w14:solidFill>
                </w14:textFill>
              </w:rPr>
            </w:pPr>
            <w:r>
              <w:rPr>
                <w:rFonts w:ascii="Times New Roman" w:hAnsi="Times New Roman"/>
                <w:color w:val="000000" w:themeColor="text1"/>
                <w:sz w:val="20"/>
                <w14:textFill>
                  <w14:solidFill>
                    <w14:schemeClr w14:val="tx1"/>
                  </w14:solidFill>
                </w14:textFill>
              </w:rPr>
              <w:t>A.</w:t>
            </w:r>
            <w:r>
              <w:rPr>
                <w:rFonts w:ascii="Times New Roman" w:hAnsi="Times New Roman"/>
                <w:color w:val="000000" w:themeColor="text1"/>
                <w:sz w:val="20"/>
                <w14:textFill>
                  <w14:solidFill>
                    <w14:schemeClr w14:val="tx1"/>
                  </w14:solidFill>
                </w14:textFill>
              </w:rPr>
              <w:fldChar w:fldCharType="begin"/>
            </w:r>
            <w:r>
              <w:rPr>
                <w:rFonts w:ascii="Times New Roman" w:hAnsi="Times New Roman"/>
                <w:color w:val="000000" w:themeColor="text1"/>
                <w:sz w:val="20"/>
                <w14:textFill>
                  <w14:solidFill>
                    <w14:schemeClr w14:val="tx1"/>
                  </w14:solidFill>
                </w14:textFill>
              </w:rPr>
              <w:instrText xml:space="preserve"> = 1 \* GB3 \* MERGEFORMAT </w:instrText>
            </w:r>
            <w:r>
              <w:rPr>
                <w:rFonts w:ascii="Times New Roman" w:hAnsi="Times New Roman"/>
                <w:color w:val="000000" w:themeColor="text1"/>
                <w:sz w:val="20"/>
                <w14:textFill>
                  <w14:solidFill>
                    <w14:schemeClr w14:val="tx1"/>
                  </w14:solidFill>
                </w14:textFill>
              </w:rPr>
              <w:fldChar w:fldCharType="separate"/>
            </w:r>
            <w:r>
              <w:rPr>
                <w:rFonts w:hint="eastAsia" w:ascii="宋体" w:hAnsi="宋体" w:cs="宋体"/>
                <w:color w:val="000000" w:themeColor="text1"/>
                <w:sz w:val="20"/>
                <w14:textFill>
                  <w14:solidFill>
                    <w14:schemeClr w14:val="tx1"/>
                  </w14:solidFill>
                </w14:textFill>
              </w:rPr>
              <w:t>①</w:t>
            </w:r>
            <w:r>
              <w:rPr>
                <w:rFonts w:ascii="Times New Roman" w:hAnsi="Times New Roman"/>
                <w:color w:val="000000" w:themeColor="text1"/>
                <w:sz w:val="20"/>
                <w14:textFill>
                  <w14:solidFill>
                    <w14:schemeClr w14:val="tx1"/>
                  </w14:solidFill>
                </w14:textFill>
              </w:rPr>
              <w:fldChar w:fldCharType="end"/>
            </w:r>
            <w:r>
              <w:rPr>
                <w:rFonts w:ascii="Times New Roman" w:hAnsi="Times New Roman"/>
                <w:color w:val="000000" w:themeColor="text1"/>
                <w:sz w:val="20"/>
                <w14:textFill>
                  <w14:solidFill>
                    <w14:schemeClr w14:val="tx1"/>
                  </w14:solidFill>
                </w14:textFill>
              </w:rPr>
              <w:fldChar w:fldCharType="begin"/>
            </w:r>
            <w:r>
              <w:rPr>
                <w:rFonts w:ascii="Times New Roman" w:hAnsi="Times New Roman"/>
                <w:color w:val="000000" w:themeColor="text1"/>
                <w:sz w:val="20"/>
                <w14:textFill>
                  <w14:solidFill>
                    <w14:schemeClr w14:val="tx1"/>
                  </w14:solidFill>
                </w14:textFill>
              </w:rPr>
              <w:instrText xml:space="preserve"> = 3 \* GB3 \* MERGEFORMAT </w:instrText>
            </w:r>
            <w:r>
              <w:rPr>
                <w:rFonts w:ascii="Times New Roman" w:hAnsi="Times New Roman"/>
                <w:color w:val="000000" w:themeColor="text1"/>
                <w:sz w:val="20"/>
                <w14:textFill>
                  <w14:solidFill>
                    <w14:schemeClr w14:val="tx1"/>
                  </w14:solidFill>
                </w14:textFill>
              </w:rPr>
              <w:fldChar w:fldCharType="separate"/>
            </w:r>
            <w:r>
              <w:rPr>
                <w:rFonts w:hint="eastAsia" w:ascii="宋体" w:hAnsi="宋体" w:cs="宋体"/>
                <w:color w:val="000000" w:themeColor="text1"/>
                <w:sz w:val="20"/>
                <w14:textFill>
                  <w14:solidFill>
                    <w14:schemeClr w14:val="tx1"/>
                  </w14:solidFill>
                </w14:textFill>
              </w:rPr>
              <w:t>③</w:t>
            </w:r>
            <w:r>
              <w:rPr>
                <w:rFonts w:ascii="Times New Roman" w:hAnsi="Times New Roman"/>
                <w:color w:val="000000" w:themeColor="text1"/>
                <w:sz w:val="20"/>
                <w14:textFill>
                  <w14:solidFill>
                    <w14:schemeClr w14:val="tx1"/>
                  </w14:solidFill>
                </w14:textFill>
              </w:rPr>
              <w:fldChar w:fldCharType="end"/>
            </w:r>
          </w:p>
          <w:p>
            <w:pPr>
              <w:pStyle w:val="6"/>
              <w:adjustRightInd w:val="0"/>
              <w:snapToGrid w:val="0"/>
              <w:spacing w:after="0" w:line="360" w:lineRule="exact"/>
              <w:ind w:firstLine="0" w:firstLineChars="0"/>
              <w:rPr>
                <w:rFonts w:ascii="Times New Roman" w:hAnsi="Times New Roman"/>
                <w:color w:val="000000" w:themeColor="text1"/>
                <w:sz w:val="20"/>
                <w14:textFill>
                  <w14:solidFill>
                    <w14:schemeClr w14:val="tx1"/>
                  </w14:solidFill>
                </w14:textFill>
              </w:rPr>
            </w:pPr>
            <w:r>
              <w:rPr>
                <w:rFonts w:ascii="Times New Roman" w:hAnsi="Times New Roman"/>
                <w:color w:val="000000" w:themeColor="text1"/>
                <w:sz w:val="20"/>
                <w14:textFill>
                  <w14:solidFill>
                    <w14:schemeClr w14:val="tx1"/>
                  </w14:solidFill>
                </w14:textFill>
              </w:rPr>
              <w:t>B.</w:t>
            </w:r>
            <w:r>
              <w:rPr>
                <w:rFonts w:ascii="Times New Roman" w:hAnsi="Times New Roman"/>
                <w:color w:val="000000" w:themeColor="text1"/>
                <w:sz w:val="20"/>
                <w14:textFill>
                  <w14:solidFill>
                    <w14:schemeClr w14:val="tx1"/>
                  </w14:solidFill>
                </w14:textFill>
              </w:rPr>
              <w:fldChar w:fldCharType="begin"/>
            </w:r>
            <w:r>
              <w:rPr>
                <w:rFonts w:ascii="Times New Roman" w:hAnsi="Times New Roman"/>
                <w:color w:val="000000" w:themeColor="text1"/>
                <w:sz w:val="20"/>
                <w14:textFill>
                  <w14:solidFill>
                    <w14:schemeClr w14:val="tx1"/>
                  </w14:solidFill>
                </w14:textFill>
              </w:rPr>
              <w:instrText xml:space="preserve"> = 1 \* GB3 \* MERGEFORMAT </w:instrText>
            </w:r>
            <w:r>
              <w:rPr>
                <w:rFonts w:ascii="Times New Roman" w:hAnsi="Times New Roman"/>
                <w:color w:val="000000" w:themeColor="text1"/>
                <w:sz w:val="20"/>
                <w14:textFill>
                  <w14:solidFill>
                    <w14:schemeClr w14:val="tx1"/>
                  </w14:solidFill>
                </w14:textFill>
              </w:rPr>
              <w:fldChar w:fldCharType="separate"/>
            </w:r>
            <w:r>
              <w:rPr>
                <w:rFonts w:hint="eastAsia" w:ascii="宋体" w:hAnsi="宋体" w:cs="宋体"/>
                <w:color w:val="000000" w:themeColor="text1"/>
                <w:sz w:val="20"/>
                <w14:textFill>
                  <w14:solidFill>
                    <w14:schemeClr w14:val="tx1"/>
                  </w14:solidFill>
                </w14:textFill>
              </w:rPr>
              <w:t>①</w:t>
            </w:r>
            <w:r>
              <w:rPr>
                <w:rFonts w:ascii="Times New Roman" w:hAnsi="Times New Roman"/>
                <w:color w:val="000000" w:themeColor="text1"/>
                <w:sz w:val="20"/>
                <w14:textFill>
                  <w14:solidFill>
                    <w14:schemeClr w14:val="tx1"/>
                  </w14:solidFill>
                </w14:textFill>
              </w:rPr>
              <w:fldChar w:fldCharType="end"/>
            </w:r>
            <w:r>
              <w:rPr>
                <w:rFonts w:ascii="Times New Roman" w:hAnsi="Times New Roman"/>
                <w:color w:val="000000" w:themeColor="text1"/>
                <w:sz w:val="20"/>
                <w14:textFill>
                  <w14:solidFill>
                    <w14:schemeClr w14:val="tx1"/>
                  </w14:solidFill>
                </w14:textFill>
              </w:rPr>
              <w:fldChar w:fldCharType="begin"/>
            </w:r>
            <w:r>
              <w:rPr>
                <w:rFonts w:ascii="Times New Roman" w:hAnsi="Times New Roman"/>
                <w:color w:val="000000" w:themeColor="text1"/>
                <w:sz w:val="20"/>
                <w14:textFill>
                  <w14:solidFill>
                    <w14:schemeClr w14:val="tx1"/>
                  </w14:solidFill>
                </w14:textFill>
              </w:rPr>
              <w:instrText xml:space="preserve"> = 4 \* GB3 \* MERGEFORMAT </w:instrText>
            </w:r>
            <w:r>
              <w:rPr>
                <w:rFonts w:ascii="Times New Roman" w:hAnsi="Times New Roman"/>
                <w:color w:val="000000" w:themeColor="text1"/>
                <w:sz w:val="20"/>
                <w14:textFill>
                  <w14:solidFill>
                    <w14:schemeClr w14:val="tx1"/>
                  </w14:solidFill>
                </w14:textFill>
              </w:rPr>
              <w:fldChar w:fldCharType="separate"/>
            </w:r>
            <w:r>
              <w:rPr>
                <w:rFonts w:hint="eastAsia" w:ascii="宋体" w:hAnsi="宋体" w:cs="宋体"/>
                <w:color w:val="000000" w:themeColor="text1"/>
                <w:sz w:val="20"/>
                <w14:textFill>
                  <w14:solidFill>
                    <w14:schemeClr w14:val="tx1"/>
                  </w14:solidFill>
                </w14:textFill>
              </w:rPr>
              <w:t>④</w:t>
            </w:r>
            <w:r>
              <w:rPr>
                <w:rFonts w:ascii="Times New Roman" w:hAnsi="Times New Roman"/>
                <w:color w:val="000000" w:themeColor="text1"/>
                <w:sz w:val="20"/>
                <w14:textFill>
                  <w14:solidFill>
                    <w14:schemeClr w14:val="tx1"/>
                  </w14:solidFill>
                </w14:textFill>
              </w:rPr>
              <w:fldChar w:fldCharType="end"/>
            </w:r>
          </w:p>
          <w:p>
            <w:pPr>
              <w:pStyle w:val="6"/>
              <w:adjustRightInd w:val="0"/>
              <w:snapToGrid w:val="0"/>
              <w:spacing w:after="0" w:line="360" w:lineRule="exact"/>
              <w:ind w:firstLine="0" w:firstLineChars="0"/>
              <w:rPr>
                <w:rFonts w:ascii="Times New Roman" w:hAnsi="Times New Roman"/>
                <w:color w:val="000000" w:themeColor="text1"/>
                <w:sz w:val="20"/>
                <w14:textFill>
                  <w14:solidFill>
                    <w14:schemeClr w14:val="tx1"/>
                  </w14:solidFill>
                </w14:textFill>
              </w:rPr>
            </w:pPr>
            <w:r>
              <w:rPr>
                <w:rFonts w:ascii="Times New Roman" w:hAnsi="Times New Roman"/>
                <w:color w:val="000000" w:themeColor="text1"/>
                <w:sz w:val="20"/>
                <w14:textFill>
                  <w14:solidFill>
                    <w14:schemeClr w14:val="tx1"/>
                  </w14:solidFill>
                </w14:textFill>
              </w:rPr>
              <w:t>C.</w:t>
            </w:r>
            <w:r>
              <w:rPr>
                <w:rFonts w:ascii="Times New Roman" w:hAnsi="Times New Roman"/>
                <w:color w:val="000000" w:themeColor="text1"/>
                <w:sz w:val="20"/>
                <w14:textFill>
                  <w14:solidFill>
                    <w14:schemeClr w14:val="tx1"/>
                  </w14:solidFill>
                </w14:textFill>
              </w:rPr>
              <w:fldChar w:fldCharType="begin"/>
            </w:r>
            <w:r>
              <w:rPr>
                <w:rFonts w:ascii="Times New Roman" w:hAnsi="Times New Roman"/>
                <w:color w:val="000000" w:themeColor="text1"/>
                <w:sz w:val="20"/>
                <w14:textFill>
                  <w14:solidFill>
                    <w14:schemeClr w14:val="tx1"/>
                  </w14:solidFill>
                </w14:textFill>
              </w:rPr>
              <w:instrText xml:space="preserve"> = 2 \* GB3 \* MERGEFORMAT </w:instrText>
            </w:r>
            <w:r>
              <w:rPr>
                <w:rFonts w:ascii="Times New Roman" w:hAnsi="Times New Roman"/>
                <w:color w:val="000000" w:themeColor="text1"/>
                <w:sz w:val="20"/>
                <w14:textFill>
                  <w14:solidFill>
                    <w14:schemeClr w14:val="tx1"/>
                  </w14:solidFill>
                </w14:textFill>
              </w:rPr>
              <w:fldChar w:fldCharType="separate"/>
            </w:r>
            <w:r>
              <w:rPr>
                <w:rFonts w:hint="eastAsia" w:ascii="宋体" w:hAnsi="宋体" w:cs="宋体"/>
                <w:color w:val="000000" w:themeColor="text1"/>
                <w:sz w:val="20"/>
                <w14:textFill>
                  <w14:solidFill>
                    <w14:schemeClr w14:val="tx1"/>
                  </w14:solidFill>
                </w14:textFill>
              </w:rPr>
              <w:t>②</w:t>
            </w:r>
            <w:r>
              <w:rPr>
                <w:rFonts w:ascii="Times New Roman" w:hAnsi="Times New Roman"/>
                <w:color w:val="000000" w:themeColor="text1"/>
                <w:sz w:val="20"/>
                <w14:textFill>
                  <w14:solidFill>
                    <w14:schemeClr w14:val="tx1"/>
                  </w14:solidFill>
                </w14:textFill>
              </w:rPr>
              <w:fldChar w:fldCharType="end"/>
            </w:r>
            <w:r>
              <w:rPr>
                <w:rFonts w:ascii="Times New Roman" w:hAnsi="Times New Roman"/>
                <w:color w:val="000000" w:themeColor="text1"/>
                <w:sz w:val="20"/>
                <w14:textFill>
                  <w14:solidFill>
                    <w14:schemeClr w14:val="tx1"/>
                  </w14:solidFill>
                </w14:textFill>
              </w:rPr>
              <w:fldChar w:fldCharType="begin"/>
            </w:r>
            <w:r>
              <w:rPr>
                <w:rFonts w:ascii="Times New Roman" w:hAnsi="Times New Roman"/>
                <w:color w:val="000000" w:themeColor="text1"/>
                <w:sz w:val="20"/>
                <w14:textFill>
                  <w14:solidFill>
                    <w14:schemeClr w14:val="tx1"/>
                  </w14:solidFill>
                </w14:textFill>
              </w:rPr>
              <w:instrText xml:space="preserve"> = 3 \* GB3 \* MERGEFORMAT </w:instrText>
            </w:r>
            <w:r>
              <w:rPr>
                <w:rFonts w:ascii="Times New Roman" w:hAnsi="Times New Roman"/>
                <w:color w:val="000000" w:themeColor="text1"/>
                <w:sz w:val="20"/>
                <w14:textFill>
                  <w14:solidFill>
                    <w14:schemeClr w14:val="tx1"/>
                  </w14:solidFill>
                </w14:textFill>
              </w:rPr>
              <w:fldChar w:fldCharType="separate"/>
            </w:r>
            <w:r>
              <w:rPr>
                <w:rFonts w:hint="eastAsia" w:ascii="宋体" w:hAnsi="宋体" w:cs="宋体"/>
                <w:color w:val="000000" w:themeColor="text1"/>
                <w:sz w:val="20"/>
                <w14:textFill>
                  <w14:solidFill>
                    <w14:schemeClr w14:val="tx1"/>
                  </w14:solidFill>
                </w14:textFill>
              </w:rPr>
              <w:t>③</w:t>
            </w:r>
            <w:r>
              <w:rPr>
                <w:rFonts w:ascii="Times New Roman" w:hAnsi="Times New Roman"/>
                <w:color w:val="000000" w:themeColor="text1"/>
                <w:sz w:val="20"/>
                <w14:textFill>
                  <w14:solidFill>
                    <w14:schemeClr w14:val="tx1"/>
                  </w14:solidFill>
                </w14:textFill>
              </w:rPr>
              <w:fldChar w:fldCharType="end"/>
            </w:r>
          </w:p>
          <w:p>
            <w:pPr>
              <w:spacing w:line="340" w:lineRule="exact"/>
              <w:rPr>
                <w:rFonts w:ascii="Times New Roman" w:hAnsi="Times New Roman"/>
                <w:caps/>
                <w:color w:val="000000" w:themeColor="text1"/>
                <w:sz w:val="20"/>
                <w:szCs w:val="20"/>
                <w14:textFill>
                  <w14:solidFill>
                    <w14:schemeClr w14:val="tx1"/>
                  </w14:solidFill>
                </w14:textFill>
              </w:rPr>
            </w:pPr>
            <w:r>
              <w:rPr>
                <w:rFonts w:ascii="Times New Roman" w:hAnsi="Times New Roman"/>
                <w:color w:val="000000" w:themeColor="text1"/>
                <w:sz w:val="20"/>
                <w:szCs w:val="20"/>
                <w14:textFill>
                  <w14:solidFill>
                    <w14:schemeClr w14:val="tx1"/>
                  </w14:solidFill>
                </w14:textFill>
              </w:rPr>
              <w:t>D.</w:t>
            </w:r>
            <w:r>
              <w:rPr>
                <w:rFonts w:ascii="Times New Roman" w:hAnsi="Times New Roman"/>
                <w:color w:val="000000" w:themeColor="text1"/>
                <w:sz w:val="20"/>
                <w:szCs w:val="20"/>
                <w14:textFill>
                  <w14:solidFill>
                    <w14:schemeClr w14:val="tx1"/>
                  </w14:solidFill>
                </w14:textFill>
              </w:rPr>
              <w:fldChar w:fldCharType="begin"/>
            </w:r>
            <w:r>
              <w:rPr>
                <w:rFonts w:ascii="Times New Roman" w:hAnsi="Times New Roman"/>
                <w:color w:val="000000" w:themeColor="text1"/>
                <w:sz w:val="20"/>
                <w:szCs w:val="20"/>
                <w14:textFill>
                  <w14:solidFill>
                    <w14:schemeClr w14:val="tx1"/>
                  </w14:solidFill>
                </w14:textFill>
              </w:rPr>
              <w:instrText xml:space="preserve"> = 2 \* GB3 \* MERGEFORMAT </w:instrText>
            </w:r>
            <w:r>
              <w:rPr>
                <w:rFonts w:ascii="Times New Roman" w:hAnsi="Times New Roman"/>
                <w:color w:val="000000" w:themeColor="text1"/>
                <w:sz w:val="20"/>
                <w:szCs w:val="20"/>
                <w14:textFill>
                  <w14:solidFill>
                    <w14:schemeClr w14:val="tx1"/>
                  </w14:solidFill>
                </w14:textFill>
              </w:rPr>
              <w:fldChar w:fldCharType="separate"/>
            </w:r>
            <w:r>
              <w:rPr>
                <w:rFonts w:hint="eastAsia" w:ascii="宋体" w:hAnsi="宋体" w:cs="宋体"/>
                <w:color w:val="000000" w:themeColor="text1"/>
                <w:sz w:val="20"/>
                <w:szCs w:val="20"/>
                <w14:textFill>
                  <w14:solidFill>
                    <w14:schemeClr w14:val="tx1"/>
                  </w14:solidFill>
                </w14:textFill>
              </w:rPr>
              <w:t>②</w:t>
            </w:r>
            <w:r>
              <w:rPr>
                <w:rFonts w:ascii="Times New Roman" w:hAnsi="Times New Roman"/>
                <w:color w:val="000000" w:themeColor="text1"/>
                <w:sz w:val="20"/>
                <w:szCs w:val="20"/>
                <w14:textFill>
                  <w14:solidFill>
                    <w14:schemeClr w14:val="tx1"/>
                  </w14:solidFill>
                </w14:textFill>
              </w:rPr>
              <w:fldChar w:fldCharType="end"/>
            </w:r>
            <w:r>
              <w:rPr>
                <w:rFonts w:ascii="Times New Roman" w:hAnsi="Times New Roman"/>
                <w:color w:val="000000" w:themeColor="text1"/>
                <w:sz w:val="20"/>
                <w:szCs w:val="20"/>
                <w14:textFill>
                  <w14:solidFill>
                    <w14:schemeClr w14:val="tx1"/>
                  </w14:solidFill>
                </w14:textFill>
              </w:rPr>
              <w:fldChar w:fldCharType="begin"/>
            </w:r>
            <w:r>
              <w:rPr>
                <w:rFonts w:ascii="Times New Roman" w:hAnsi="Times New Roman"/>
                <w:color w:val="000000" w:themeColor="text1"/>
                <w:sz w:val="20"/>
                <w:szCs w:val="20"/>
                <w14:textFill>
                  <w14:solidFill>
                    <w14:schemeClr w14:val="tx1"/>
                  </w14:solidFill>
                </w14:textFill>
              </w:rPr>
              <w:instrText xml:space="preserve"> = 4 \* GB3 \* MERGEFORMAT </w:instrText>
            </w:r>
            <w:r>
              <w:rPr>
                <w:rFonts w:ascii="Times New Roman" w:hAnsi="Times New Roman"/>
                <w:color w:val="000000" w:themeColor="text1"/>
                <w:sz w:val="20"/>
                <w:szCs w:val="20"/>
                <w14:textFill>
                  <w14:solidFill>
                    <w14:schemeClr w14:val="tx1"/>
                  </w14:solidFill>
                </w14:textFill>
              </w:rPr>
              <w:fldChar w:fldCharType="separate"/>
            </w:r>
            <w:r>
              <w:rPr>
                <w:rFonts w:hint="eastAsia" w:ascii="宋体" w:hAnsi="宋体" w:cs="宋体"/>
                <w:color w:val="000000" w:themeColor="text1"/>
                <w:sz w:val="20"/>
                <w:szCs w:val="20"/>
                <w14:textFill>
                  <w14:solidFill>
                    <w14:schemeClr w14:val="tx1"/>
                  </w14:solidFill>
                </w14:textFill>
              </w:rPr>
              <w:t>④</w:t>
            </w:r>
            <w:r>
              <w:rPr>
                <w:rFonts w:ascii="Times New Roman" w:hAnsi="Times New Roman"/>
                <w:color w:val="000000" w:themeColor="text1"/>
                <w:sz w:val="20"/>
                <w:szCs w:val="20"/>
                <w14:textFill>
                  <w14:solidFill>
                    <w14:schemeClr w14:val="tx1"/>
                  </w14:solidFill>
                </w14:textFill>
              </w:rPr>
              <w:fldChar w:fldCharType="end"/>
            </w:r>
          </w:p>
        </w:tc>
        <w:tc>
          <w:tcPr>
            <w:tcW w:w="1083" w:type="dxa"/>
            <w:vAlign w:val="center"/>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根据《中华人民共和国森林法》的规定，违法进行开垦，致使森林、林木受到毁坏的，须补种毁坏株数</w:t>
            </w:r>
            <w:r>
              <w:rPr>
                <w:rFonts w:ascii="宋体" w:hAnsi="宋体"/>
                <w:caps/>
                <w:color w:val="000000" w:themeColor="text1"/>
                <w:kern w:val="2"/>
                <w:sz w:val="20"/>
                <w:szCs w:val="20"/>
                <w14:textFill>
                  <w14:solidFill>
                    <w14:schemeClr w14:val="tx1"/>
                  </w14:solidFill>
                </w14:textFill>
              </w:rPr>
              <w:t>1</w:t>
            </w:r>
            <w:r>
              <w:rPr>
                <w:rFonts w:hint="eastAsia" w:ascii="宋体" w:hAnsi="宋体"/>
                <w:caps/>
                <w:color w:val="000000" w:themeColor="text1"/>
                <w:kern w:val="2"/>
                <w:sz w:val="20"/>
                <w:szCs w:val="20"/>
                <w14:textFill>
                  <w14:solidFill>
                    <w14:schemeClr w14:val="tx1"/>
                  </w14:solidFill>
                </w14:textFill>
              </w:rPr>
              <w:t>倍以上</w:t>
            </w:r>
            <w:r>
              <w:rPr>
                <w:rFonts w:ascii="宋体" w:hAnsi="宋体"/>
                <w:caps/>
                <w:color w:val="000000" w:themeColor="text1"/>
                <w:kern w:val="2"/>
                <w:sz w:val="20"/>
                <w:szCs w:val="20"/>
                <w14:textFill>
                  <w14:solidFill>
                    <w14:schemeClr w14:val="tx1"/>
                  </w14:solidFill>
                </w14:textFill>
              </w:rPr>
              <w:t>3</w:t>
            </w:r>
            <w:r>
              <w:rPr>
                <w:rFonts w:hint="eastAsia" w:ascii="宋体" w:hAnsi="宋体"/>
                <w:caps/>
                <w:color w:val="000000" w:themeColor="text1"/>
                <w:kern w:val="2"/>
                <w:sz w:val="20"/>
                <w:szCs w:val="20"/>
                <w14:textFill>
                  <w14:solidFill>
                    <w14:schemeClr w14:val="tx1"/>
                  </w14:solidFill>
                </w14:textFill>
              </w:rPr>
              <w:t>倍以下的树木，拒不补种树木的，由林业主管部门代为补种，所需费用由违法者支付。对此，林业主管部门的行为属于（</w:t>
            </w:r>
            <w:r>
              <w:rPr>
                <w:rFonts w:ascii="宋体" w:hAnsi="宋体"/>
                <w:caps/>
                <w:color w:val="000000" w:themeColor="text1"/>
                <w:kern w:val="2"/>
                <w:sz w:val="20"/>
                <w:szCs w:val="20"/>
                <w14:textFill>
                  <w14:solidFill>
                    <w14:schemeClr w14:val="tx1"/>
                  </w14:solidFill>
                </w14:textFill>
              </w:rPr>
              <w:t xml:space="preserve">   </w:t>
            </w:r>
            <w:r>
              <w:rPr>
                <w:rFonts w:hint="eastAsia" w:ascii="宋体" w:hAnsi="宋体"/>
                <w:caps/>
                <w:color w:val="000000" w:themeColor="text1"/>
                <w:kern w:val="2"/>
                <w:sz w:val="20"/>
                <w:szCs w:val="20"/>
                <w14:textFill>
                  <w14:solidFill>
                    <w14:schemeClr w14:val="tx1"/>
                  </w14:solidFill>
                </w14:textFill>
              </w:rPr>
              <w:t>）。</w:t>
            </w:r>
          </w:p>
        </w:tc>
        <w:tc>
          <w:tcPr>
            <w:tcW w:w="4111" w:type="dxa"/>
            <w:gridSpan w:val="2"/>
          </w:tcPr>
          <w:p>
            <w:pPr>
              <w:pStyle w:val="6"/>
              <w:numPr>
                <w:ilvl w:val="0"/>
                <w:numId w:val="6"/>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行政许可</w:t>
            </w:r>
          </w:p>
          <w:p>
            <w:pPr>
              <w:pStyle w:val="6"/>
              <w:numPr>
                <w:ilvl w:val="0"/>
                <w:numId w:val="6"/>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行政处罚</w:t>
            </w:r>
          </w:p>
          <w:p>
            <w:pPr>
              <w:pStyle w:val="6"/>
              <w:numPr>
                <w:ilvl w:val="0"/>
                <w:numId w:val="6"/>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行政强制措施</w:t>
            </w:r>
          </w:p>
          <w:p>
            <w:pPr>
              <w:pStyle w:val="6"/>
              <w:numPr>
                <w:ilvl w:val="0"/>
                <w:numId w:val="6"/>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代履行</w:t>
            </w:r>
          </w:p>
        </w:tc>
        <w:tc>
          <w:tcPr>
            <w:tcW w:w="1100" w:type="dxa"/>
            <w:gridSpan w:val="2"/>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spacing w:after="31" w:afterLines="10" w:line="288" w:lineRule="auto"/>
              <w:rPr>
                <w:rFonts w:ascii="宋体"/>
                <w:caps/>
                <w:color w:val="000000" w:themeColor="text1"/>
                <w:sz w:val="20"/>
                <w:szCs w:val="20"/>
                <w14:textFill>
                  <w14:solidFill>
                    <w14:schemeClr w14:val="tx1"/>
                  </w14:solidFill>
                </w14:textFill>
              </w:rPr>
            </w:pPr>
            <w:r>
              <w:rPr>
                <w:rFonts w:hint="eastAsia" w:ascii="宋体" w:hAnsi="宋体"/>
                <w:caps/>
                <w:color w:val="000000" w:themeColor="text1"/>
                <w:sz w:val="20"/>
                <w:szCs w:val="20"/>
                <w14:textFill>
                  <w14:solidFill>
                    <w14:schemeClr w14:val="tx1"/>
                  </w14:solidFill>
                </w14:textFill>
              </w:rPr>
              <w:t>根据我国《公务员法》的规定，下列人员中不属于公务员的是（</w:t>
            </w:r>
            <w:r>
              <w:rPr>
                <w:rFonts w:ascii="宋体" w:hAnsi="宋体"/>
                <w:caps/>
                <w:color w:val="000000" w:themeColor="text1"/>
                <w:sz w:val="20"/>
                <w:szCs w:val="20"/>
                <w14:textFill>
                  <w14:solidFill>
                    <w14:schemeClr w14:val="tx1"/>
                  </w14:solidFill>
                </w14:textFill>
              </w:rPr>
              <w:t xml:space="preserve">   </w:t>
            </w:r>
            <w:r>
              <w:rPr>
                <w:rFonts w:hint="eastAsia" w:ascii="宋体" w:hAnsi="宋体"/>
                <w:caps/>
                <w:color w:val="000000" w:themeColor="text1"/>
                <w:sz w:val="20"/>
                <w:szCs w:val="20"/>
                <w14:textFill>
                  <w14:solidFill>
                    <w14:schemeClr w14:val="tx1"/>
                  </w14:solidFill>
                </w14:textFill>
              </w:rPr>
              <w:t>）。</w:t>
            </w:r>
          </w:p>
        </w:tc>
        <w:tc>
          <w:tcPr>
            <w:tcW w:w="4111" w:type="dxa"/>
            <w:gridSpan w:val="2"/>
          </w:tcPr>
          <w:p>
            <w:pPr>
              <w:pStyle w:val="6"/>
              <w:numPr>
                <w:ilvl w:val="0"/>
                <w:numId w:val="7"/>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某镇镇长</w:t>
            </w:r>
          </w:p>
          <w:p>
            <w:pPr>
              <w:pStyle w:val="6"/>
              <w:numPr>
                <w:ilvl w:val="0"/>
                <w:numId w:val="7"/>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通过某政府部门公务员考试，但尚在试用期的人员</w:t>
            </w:r>
          </w:p>
          <w:p>
            <w:pPr>
              <w:pStyle w:val="6"/>
              <w:numPr>
                <w:ilvl w:val="0"/>
                <w:numId w:val="7"/>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某市检察院检察官</w:t>
            </w:r>
          </w:p>
          <w:p>
            <w:pPr>
              <w:pStyle w:val="6"/>
              <w:numPr>
                <w:ilvl w:val="0"/>
                <w:numId w:val="7"/>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某国有企业财务总监</w:t>
            </w:r>
          </w:p>
        </w:tc>
        <w:tc>
          <w:tcPr>
            <w:tcW w:w="1100" w:type="dxa"/>
            <w:gridSpan w:val="2"/>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spacing w:after="31" w:afterLines="10" w:line="288" w:lineRule="auto"/>
              <w:rPr>
                <w:rFonts w:ascii="宋体"/>
                <w:caps/>
                <w:color w:val="000000" w:themeColor="text1"/>
                <w:sz w:val="20"/>
                <w:szCs w:val="20"/>
                <w14:textFill>
                  <w14:solidFill>
                    <w14:schemeClr w14:val="tx1"/>
                  </w14:solidFill>
                </w14:textFill>
              </w:rPr>
            </w:pPr>
            <w:r>
              <w:rPr>
                <w:rFonts w:hint="eastAsia" w:ascii="宋体" w:hAnsi="宋体"/>
                <w:caps/>
                <w:color w:val="000000" w:themeColor="text1"/>
                <w:sz w:val="20"/>
                <w:szCs w:val="20"/>
                <w14:textFill>
                  <w14:solidFill>
                    <w14:schemeClr w14:val="tx1"/>
                  </w14:solidFill>
                </w14:textFill>
              </w:rPr>
              <w:t>公务员一经任用，非经法定程序不被免职、降职、辞退或行政处分。这属于公务员的（</w:t>
            </w:r>
            <w:r>
              <w:rPr>
                <w:rFonts w:ascii="宋体" w:hAnsi="宋体"/>
                <w:caps/>
                <w:color w:val="000000" w:themeColor="text1"/>
                <w:sz w:val="20"/>
                <w:szCs w:val="20"/>
                <w14:textFill>
                  <w14:solidFill>
                    <w14:schemeClr w14:val="tx1"/>
                  </w14:solidFill>
                </w14:textFill>
              </w:rPr>
              <w:t xml:space="preserve">   </w:t>
            </w:r>
            <w:r>
              <w:rPr>
                <w:rFonts w:hint="eastAsia" w:ascii="宋体" w:hAnsi="宋体"/>
                <w:caps/>
                <w:color w:val="000000" w:themeColor="text1"/>
                <w:sz w:val="20"/>
                <w:szCs w:val="20"/>
                <w14:textFill>
                  <w14:solidFill>
                    <w14:schemeClr w14:val="tx1"/>
                  </w14:solidFill>
                </w14:textFill>
              </w:rPr>
              <w:t>）。</w:t>
            </w:r>
          </w:p>
        </w:tc>
        <w:tc>
          <w:tcPr>
            <w:tcW w:w="4111" w:type="dxa"/>
            <w:gridSpan w:val="2"/>
          </w:tcPr>
          <w:p>
            <w:pPr>
              <w:pStyle w:val="6"/>
              <w:numPr>
                <w:ilvl w:val="0"/>
                <w:numId w:val="8"/>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执行公务权</w:t>
            </w:r>
          </w:p>
          <w:p>
            <w:pPr>
              <w:pStyle w:val="6"/>
              <w:numPr>
                <w:ilvl w:val="0"/>
                <w:numId w:val="8"/>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身份保障权</w:t>
            </w:r>
          </w:p>
          <w:p>
            <w:pPr>
              <w:pStyle w:val="6"/>
              <w:numPr>
                <w:ilvl w:val="0"/>
                <w:numId w:val="8"/>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工资福利权</w:t>
            </w:r>
          </w:p>
          <w:p>
            <w:pPr>
              <w:pStyle w:val="6"/>
              <w:numPr>
                <w:ilvl w:val="0"/>
                <w:numId w:val="8"/>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申诉控告权</w:t>
            </w:r>
          </w:p>
        </w:tc>
        <w:tc>
          <w:tcPr>
            <w:tcW w:w="1100" w:type="dxa"/>
            <w:gridSpan w:val="2"/>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关于罚款收缴，下列说法错误的是（</w:t>
            </w:r>
            <w:r>
              <w:rPr>
                <w:rFonts w:ascii="宋体" w:hAnsi="宋体"/>
                <w:caps/>
                <w:color w:val="000000" w:themeColor="text1"/>
                <w:kern w:val="2"/>
                <w:sz w:val="20"/>
                <w:szCs w:val="20"/>
                <w14:textFill>
                  <w14:solidFill>
                    <w14:schemeClr w14:val="tx1"/>
                  </w14:solidFill>
                </w14:textFill>
              </w:rPr>
              <w:t xml:space="preserve">   </w:t>
            </w:r>
            <w:r>
              <w:rPr>
                <w:rFonts w:hint="eastAsia" w:ascii="宋体" w:hAnsi="宋体"/>
                <w:caps/>
                <w:color w:val="000000" w:themeColor="text1"/>
                <w:kern w:val="2"/>
                <w:sz w:val="20"/>
                <w:szCs w:val="20"/>
                <w14:textFill>
                  <w14:solidFill>
                    <w14:schemeClr w14:val="tx1"/>
                  </w14:solidFill>
                </w14:textFill>
              </w:rPr>
              <w:t>）。</w:t>
            </w:r>
          </w:p>
        </w:tc>
        <w:tc>
          <w:tcPr>
            <w:tcW w:w="4111" w:type="dxa"/>
            <w:gridSpan w:val="2"/>
          </w:tcPr>
          <w:p>
            <w:pPr>
              <w:pStyle w:val="6"/>
              <w:numPr>
                <w:ilvl w:val="0"/>
                <w:numId w:val="9"/>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作出罚款决定的行政机关原则上出具罚款收据，即可收缴罚款</w:t>
            </w:r>
          </w:p>
          <w:p>
            <w:pPr>
              <w:pStyle w:val="6"/>
              <w:numPr>
                <w:ilvl w:val="0"/>
                <w:numId w:val="9"/>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当事人应当自收到行政处罚决定书之日起</w:t>
            </w:r>
            <w:r>
              <w:rPr>
                <w:rFonts w:ascii="宋体" w:hAnsi="宋体"/>
                <w:color w:val="000000" w:themeColor="text1"/>
                <w:kern w:val="2"/>
                <w:sz w:val="20"/>
                <w:szCs w:val="20"/>
                <w14:textFill>
                  <w14:solidFill>
                    <w14:schemeClr w14:val="tx1"/>
                  </w14:solidFill>
                </w14:textFill>
              </w:rPr>
              <w:t>15</w:t>
            </w:r>
            <w:r>
              <w:rPr>
                <w:rFonts w:hint="eastAsia" w:ascii="宋体" w:hAnsi="宋体"/>
                <w:color w:val="000000" w:themeColor="text1"/>
                <w:kern w:val="2"/>
                <w:sz w:val="20"/>
                <w:szCs w:val="20"/>
                <w14:textFill>
                  <w14:solidFill>
                    <w14:schemeClr w14:val="tx1"/>
                  </w14:solidFill>
                </w14:textFill>
              </w:rPr>
              <w:t>日内缴纳罚款</w:t>
            </w:r>
          </w:p>
          <w:p>
            <w:pPr>
              <w:pStyle w:val="6"/>
              <w:numPr>
                <w:ilvl w:val="0"/>
                <w:numId w:val="9"/>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收缴罚款的机构无权做出罚款决定</w:t>
            </w:r>
          </w:p>
          <w:p>
            <w:pPr>
              <w:pStyle w:val="6"/>
              <w:numPr>
                <w:ilvl w:val="0"/>
                <w:numId w:val="9"/>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收缴罚款的机构并不具有罚款的所有权</w:t>
            </w:r>
          </w:p>
        </w:tc>
        <w:tc>
          <w:tcPr>
            <w:tcW w:w="1100" w:type="dxa"/>
            <w:gridSpan w:val="2"/>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9" w:type="dxa"/>
            <w:gridSpan w:val="2"/>
          </w:tcPr>
          <w:p>
            <w:pPr>
              <w:snapToGrid w:val="0"/>
              <w:spacing w:line="340" w:lineRule="exact"/>
              <w:rPr>
                <w:rFonts w:ascii="Times New Roman" w:hAnsi="Times New Roman"/>
                <w:color w:val="000000" w:themeColor="text1"/>
                <w:sz w:val="20"/>
                <w:szCs w:val="20"/>
                <w14:textFill>
                  <w14:solidFill>
                    <w14:schemeClr w14:val="tx1"/>
                  </w14:solidFill>
                </w14:textFill>
              </w:rPr>
            </w:pPr>
            <w:r>
              <w:rPr>
                <w:rFonts w:ascii="Times New Roman" w:hAnsi="Times New Roman"/>
                <w:color w:val="000000" w:themeColor="text1"/>
                <w:sz w:val="20"/>
                <w:szCs w:val="20"/>
                <w14:textFill>
                  <w14:solidFill>
                    <w14:schemeClr w14:val="tx1"/>
                  </w14:solidFill>
                </w14:textFill>
              </w:rPr>
              <w:t>关于行政法上的比例原则，下列说法正确的是（   ）。</w:t>
            </w:r>
          </w:p>
        </w:tc>
        <w:tc>
          <w:tcPr>
            <w:tcW w:w="4111" w:type="dxa"/>
            <w:gridSpan w:val="2"/>
            <w:vAlign w:val="center"/>
          </w:tcPr>
          <w:p>
            <w:pPr>
              <w:pStyle w:val="6"/>
              <w:adjustRightInd w:val="0"/>
              <w:snapToGrid w:val="0"/>
              <w:spacing w:after="0" w:line="360" w:lineRule="exact"/>
              <w:ind w:firstLine="0" w:firstLineChars="0"/>
              <w:rPr>
                <w:rFonts w:ascii="Times New Roman" w:hAnsi="Times New Roman"/>
                <w:color w:val="000000" w:themeColor="text1"/>
                <w:sz w:val="20"/>
                <w14:textFill>
                  <w14:solidFill>
                    <w14:schemeClr w14:val="tx1"/>
                  </w14:solidFill>
                </w14:textFill>
              </w:rPr>
            </w:pPr>
            <w:r>
              <w:rPr>
                <w:rFonts w:ascii="Times New Roman" w:hAnsi="Times New Roman"/>
                <w:color w:val="000000" w:themeColor="text1"/>
                <w:sz w:val="20"/>
                <w14:textFill>
                  <w14:solidFill>
                    <w14:schemeClr w14:val="tx1"/>
                  </w14:solidFill>
                </w14:textFill>
              </w:rPr>
              <w:t>A.是程序正当原则的基本内容之一</w:t>
            </w:r>
          </w:p>
          <w:p>
            <w:pPr>
              <w:pStyle w:val="6"/>
              <w:adjustRightInd w:val="0"/>
              <w:snapToGrid w:val="0"/>
              <w:spacing w:after="0" w:line="360" w:lineRule="exact"/>
              <w:ind w:firstLine="0" w:firstLineChars="0"/>
              <w:rPr>
                <w:rFonts w:ascii="Times New Roman" w:hAnsi="Times New Roman"/>
                <w:color w:val="000000" w:themeColor="text1"/>
                <w:sz w:val="20"/>
                <w14:textFill>
                  <w14:solidFill>
                    <w14:schemeClr w14:val="tx1"/>
                  </w14:solidFill>
                </w14:textFill>
              </w:rPr>
            </w:pPr>
            <w:r>
              <w:rPr>
                <w:rFonts w:ascii="Times New Roman" w:hAnsi="Times New Roman"/>
                <w:color w:val="000000" w:themeColor="text1"/>
                <w:sz w:val="20"/>
                <w14:textFill>
                  <w14:solidFill>
                    <w14:schemeClr w14:val="tx1"/>
                  </w14:solidFill>
                </w14:textFill>
              </w:rPr>
              <w:t>B.主要适用于羁束行政行为</w:t>
            </w:r>
          </w:p>
          <w:p>
            <w:pPr>
              <w:pStyle w:val="6"/>
              <w:adjustRightInd w:val="0"/>
              <w:snapToGrid w:val="0"/>
              <w:spacing w:after="0" w:line="360" w:lineRule="exact"/>
              <w:ind w:firstLine="0" w:firstLineChars="0"/>
              <w:rPr>
                <w:rFonts w:ascii="Times New Roman" w:hAnsi="Times New Roman"/>
                <w:color w:val="000000" w:themeColor="text1"/>
                <w:sz w:val="20"/>
                <w14:textFill>
                  <w14:solidFill>
                    <w14:schemeClr w14:val="tx1"/>
                  </w14:solidFill>
                </w14:textFill>
              </w:rPr>
            </w:pPr>
            <w:r>
              <w:rPr>
                <w:rFonts w:ascii="Times New Roman" w:hAnsi="Times New Roman"/>
                <w:color w:val="000000" w:themeColor="text1"/>
                <w:sz w:val="20"/>
                <w14:textFill>
                  <w14:solidFill>
                    <w14:schemeClr w14:val="tx1"/>
                  </w14:solidFill>
                </w14:textFill>
              </w:rPr>
              <w:t>C.要求行政主体要平等地对待行政相对人</w:t>
            </w:r>
          </w:p>
          <w:p>
            <w:pPr>
              <w:spacing w:line="340" w:lineRule="exact"/>
              <w:rPr>
                <w:rFonts w:ascii="Times New Roman" w:hAnsi="Times New Roman"/>
                <w:caps/>
                <w:color w:val="000000" w:themeColor="text1"/>
                <w:sz w:val="20"/>
                <w:szCs w:val="20"/>
                <w14:textFill>
                  <w14:solidFill>
                    <w14:schemeClr w14:val="tx1"/>
                  </w14:solidFill>
                </w14:textFill>
              </w:rPr>
            </w:pPr>
            <w:r>
              <w:rPr>
                <w:rFonts w:ascii="Times New Roman" w:hAnsi="Times New Roman"/>
                <w:color w:val="000000" w:themeColor="text1"/>
                <w:sz w:val="20"/>
                <w:szCs w:val="20"/>
                <w14:textFill>
                  <w14:solidFill>
                    <w14:schemeClr w14:val="tx1"/>
                  </w14:solidFill>
                </w14:textFill>
              </w:rPr>
              <w:t>D.要求行政主体所采取的手段对行政相对人的损害最小</w:t>
            </w:r>
          </w:p>
        </w:tc>
        <w:tc>
          <w:tcPr>
            <w:tcW w:w="1083" w:type="dxa"/>
            <w:vAlign w:val="center"/>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snapToGrid w:val="0"/>
              <w:spacing w:line="340" w:lineRule="exact"/>
              <w:rPr>
                <w:rFonts w:asci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关于行政复议，下列说法错误的是（</w:t>
            </w:r>
            <w:r>
              <w:rPr>
                <w:rFonts w:ascii="宋体" w:hAnsi="宋体"/>
                <w:color w:val="000000" w:themeColor="text1"/>
                <w:sz w:val="20"/>
                <w:szCs w:val="20"/>
                <w14:textFill>
                  <w14:solidFill>
                    <w14:schemeClr w14:val="tx1"/>
                  </w14:solidFill>
                </w14:textFill>
              </w:rPr>
              <w:t xml:space="preserve">   </w:t>
            </w:r>
            <w:r>
              <w:rPr>
                <w:rFonts w:hint="eastAsia" w:ascii="宋体" w:hAnsi="宋体"/>
                <w:color w:val="000000" w:themeColor="text1"/>
                <w:sz w:val="20"/>
                <w:szCs w:val="20"/>
                <w14:textFill>
                  <w14:solidFill>
                    <w14:schemeClr w14:val="tx1"/>
                  </w14:solidFill>
                </w14:textFill>
              </w:rPr>
              <w:t>）。</w:t>
            </w:r>
          </w:p>
          <w:p>
            <w:pPr>
              <w:rPr>
                <w:rFonts w:ascii="宋体"/>
                <w:color w:val="000000" w:themeColor="text1"/>
                <w:szCs w:val="21"/>
                <w14:textFill>
                  <w14:solidFill>
                    <w14:schemeClr w14:val="tx1"/>
                  </w14:solidFill>
                </w14:textFill>
              </w:rPr>
            </w:pPr>
          </w:p>
        </w:tc>
        <w:tc>
          <w:tcPr>
            <w:tcW w:w="4111" w:type="dxa"/>
            <w:gridSpan w:val="2"/>
          </w:tcPr>
          <w:p>
            <w:pPr>
              <w:pStyle w:val="6"/>
              <w:numPr>
                <w:ilvl w:val="0"/>
                <w:numId w:val="10"/>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行政复议只能由作出原行为的行政机关的上级机关管辖</w:t>
            </w:r>
          </w:p>
          <w:p>
            <w:pPr>
              <w:pStyle w:val="6"/>
              <w:numPr>
                <w:ilvl w:val="0"/>
                <w:numId w:val="10"/>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行政复议只能附带审查部分抽象行政行为</w:t>
            </w:r>
          </w:p>
          <w:p>
            <w:pPr>
              <w:pStyle w:val="6"/>
              <w:numPr>
                <w:ilvl w:val="0"/>
                <w:numId w:val="10"/>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行政复议既审查行政行为的合法性，也审查其合理性</w:t>
            </w:r>
          </w:p>
          <w:p>
            <w:pPr>
              <w:pStyle w:val="6"/>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ascii="宋体" w:hAnsi="宋体"/>
                <w:color w:val="000000" w:themeColor="text1"/>
                <w:kern w:val="2"/>
                <w:sz w:val="20"/>
                <w:szCs w:val="20"/>
                <w14:textFill>
                  <w14:solidFill>
                    <w14:schemeClr w14:val="tx1"/>
                  </w14:solidFill>
                </w14:textFill>
              </w:rPr>
              <w:t>D.</w:t>
            </w:r>
            <w:r>
              <w:rPr>
                <w:rFonts w:hint="eastAsia" w:ascii="宋体" w:hAnsi="宋体"/>
                <w:color w:val="000000" w:themeColor="text1"/>
                <w:kern w:val="2"/>
                <w:sz w:val="20"/>
                <w:szCs w:val="20"/>
                <w14:textFill>
                  <w14:solidFill>
                    <w14:schemeClr w14:val="tx1"/>
                  </w14:solidFill>
                </w14:textFill>
              </w:rPr>
              <w:t>行政复议决定一般不具有终局性</w:t>
            </w:r>
          </w:p>
        </w:tc>
        <w:tc>
          <w:tcPr>
            <w:tcW w:w="1100" w:type="dxa"/>
            <w:gridSpan w:val="2"/>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rPr>
                <w:rFonts w:asci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关于行政强制措施，下列说法正确的是（</w:t>
            </w:r>
            <w:r>
              <w:rPr>
                <w:rFonts w:ascii="宋体" w:hAnsi="宋体"/>
                <w:color w:val="000000" w:themeColor="text1"/>
                <w:sz w:val="20"/>
                <w:szCs w:val="20"/>
                <w14:textFill>
                  <w14:solidFill>
                    <w14:schemeClr w14:val="tx1"/>
                  </w14:solidFill>
                </w14:textFill>
              </w:rPr>
              <w:t xml:space="preserve">   </w:t>
            </w:r>
            <w:r>
              <w:rPr>
                <w:rFonts w:hint="eastAsia" w:ascii="宋体" w:hAnsi="宋体"/>
                <w:color w:val="000000" w:themeColor="text1"/>
                <w:sz w:val="20"/>
                <w:szCs w:val="20"/>
                <w14:textFill>
                  <w14:solidFill>
                    <w14:schemeClr w14:val="tx1"/>
                  </w14:solidFill>
                </w14:textFill>
              </w:rPr>
              <w:t>）。</w:t>
            </w:r>
          </w:p>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p>
        </w:tc>
        <w:tc>
          <w:tcPr>
            <w:tcW w:w="4111" w:type="dxa"/>
            <w:gridSpan w:val="2"/>
          </w:tcPr>
          <w:p>
            <w:pPr>
              <w:pStyle w:val="6"/>
              <w:numPr>
                <w:ilvl w:val="0"/>
                <w:numId w:val="11"/>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行政强制措施的实施只能针对公民的财产，不能针对公民的人身自由</w:t>
            </w:r>
          </w:p>
          <w:p>
            <w:pPr>
              <w:pStyle w:val="6"/>
              <w:numPr>
                <w:ilvl w:val="0"/>
                <w:numId w:val="11"/>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税务机关对未依法纳税的义务人实施冻结存款和加收滞纳金的行为，性质上都属于行政强制措施</w:t>
            </w:r>
          </w:p>
          <w:p>
            <w:pPr>
              <w:pStyle w:val="6"/>
              <w:numPr>
                <w:ilvl w:val="0"/>
                <w:numId w:val="11"/>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行政强制措施权不得委托，法规、规章另有规定的除外</w:t>
            </w:r>
          </w:p>
          <w:p>
            <w:pPr>
              <w:pStyle w:val="6"/>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ascii="宋体" w:hAnsi="宋体"/>
                <w:color w:val="000000" w:themeColor="text1"/>
                <w:kern w:val="2"/>
                <w:sz w:val="20"/>
                <w:szCs w:val="20"/>
                <w14:textFill>
                  <w14:solidFill>
                    <w14:schemeClr w14:val="tx1"/>
                  </w14:solidFill>
                </w14:textFill>
              </w:rPr>
              <w:t>D.</w:t>
            </w:r>
            <w:r>
              <w:rPr>
                <w:rFonts w:hint="eastAsia" w:ascii="宋体" w:hAnsi="宋体"/>
                <w:color w:val="000000" w:themeColor="text1"/>
                <w:kern w:val="2"/>
                <w:sz w:val="20"/>
                <w:szCs w:val="20"/>
                <w14:textFill>
                  <w14:solidFill>
                    <w14:schemeClr w14:val="tx1"/>
                  </w14:solidFill>
                </w14:textFill>
              </w:rPr>
              <w:t>行政强制措施应由行政机关具备资格的行政执法人员实施，其他人员不得实施</w:t>
            </w:r>
          </w:p>
        </w:tc>
        <w:tc>
          <w:tcPr>
            <w:tcW w:w="1100" w:type="dxa"/>
            <w:gridSpan w:val="2"/>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关于行政强制措施与行政强制执行的比较，下列说法正确的是（</w:t>
            </w:r>
            <w:r>
              <w:rPr>
                <w:rFonts w:ascii="宋体" w:hAnsi="宋体"/>
                <w:caps/>
                <w:color w:val="000000" w:themeColor="text1"/>
                <w:kern w:val="2"/>
                <w:sz w:val="20"/>
                <w:szCs w:val="20"/>
                <w14:textFill>
                  <w14:solidFill>
                    <w14:schemeClr w14:val="tx1"/>
                  </w14:solidFill>
                </w14:textFill>
              </w:rPr>
              <w:t xml:space="preserve">   </w:t>
            </w:r>
            <w:r>
              <w:rPr>
                <w:rFonts w:hint="eastAsia" w:ascii="宋体" w:hAnsi="宋体"/>
                <w:caps/>
                <w:color w:val="000000" w:themeColor="text1"/>
                <w:kern w:val="2"/>
                <w:sz w:val="20"/>
                <w:szCs w:val="20"/>
                <w14:textFill>
                  <w14:solidFill>
                    <w14:schemeClr w14:val="tx1"/>
                  </w14:solidFill>
                </w14:textFill>
              </w:rPr>
              <w:t>）。</w:t>
            </w:r>
          </w:p>
        </w:tc>
        <w:tc>
          <w:tcPr>
            <w:tcW w:w="4111" w:type="dxa"/>
            <w:gridSpan w:val="2"/>
          </w:tcPr>
          <w:p>
            <w:pPr>
              <w:pStyle w:val="6"/>
              <w:numPr>
                <w:ilvl w:val="0"/>
                <w:numId w:val="12"/>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都只能由法律设定</w:t>
            </w:r>
          </w:p>
          <w:p>
            <w:pPr>
              <w:pStyle w:val="6"/>
              <w:numPr>
                <w:ilvl w:val="0"/>
                <w:numId w:val="12"/>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都是以行政相对人不履行义务为前提</w:t>
            </w:r>
          </w:p>
          <w:p>
            <w:pPr>
              <w:pStyle w:val="6"/>
              <w:numPr>
                <w:ilvl w:val="0"/>
                <w:numId w:val="12"/>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都应当坚持教育与强制相结合</w:t>
            </w:r>
          </w:p>
          <w:p>
            <w:pPr>
              <w:pStyle w:val="6"/>
              <w:numPr>
                <w:ilvl w:val="0"/>
                <w:numId w:val="12"/>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实施主体都是行政机关</w:t>
            </w:r>
          </w:p>
        </w:tc>
        <w:tc>
          <w:tcPr>
            <w:tcW w:w="1100" w:type="dxa"/>
            <w:gridSpan w:val="2"/>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关于行政诉讼的第一审程序，下列说法正确的是（</w:t>
            </w:r>
            <w:r>
              <w:rPr>
                <w:rFonts w:ascii="宋体" w:hAnsi="宋体"/>
                <w:caps/>
                <w:color w:val="000000" w:themeColor="text1"/>
                <w:kern w:val="2"/>
                <w:sz w:val="20"/>
                <w:szCs w:val="20"/>
                <w14:textFill>
                  <w14:solidFill>
                    <w14:schemeClr w14:val="tx1"/>
                  </w14:solidFill>
                </w14:textFill>
              </w:rPr>
              <w:t xml:space="preserve">   </w:t>
            </w:r>
            <w:r>
              <w:rPr>
                <w:rFonts w:hint="eastAsia" w:ascii="宋体" w:hAnsi="宋体"/>
                <w:caps/>
                <w:color w:val="000000" w:themeColor="text1"/>
                <w:kern w:val="2"/>
                <w:sz w:val="20"/>
                <w:szCs w:val="20"/>
                <w14:textFill>
                  <w14:solidFill>
                    <w14:schemeClr w14:val="tx1"/>
                  </w14:solidFill>
                </w14:textFill>
              </w:rPr>
              <w:t>）。</w:t>
            </w:r>
          </w:p>
        </w:tc>
        <w:tc>
          <w:tcPr>
            <w:tcW w:w="4111" w:type="dxa"/>
            <w:gridSpan w:val="2"/>
          </w:tcPr>
          <w:p>
            <w:pPr>
              <w:pStyle w:val="6"/>
              <w:numPr>
                <w:ilvl w:val="0"/>
                <w:numId w:val="13"/>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人民法院审理行政案件，一律不适用调解</w:t>
            </w:r>
          </w:p>
          <w:p>
            <w:pPr>
              <w:pStyle w:val="6"/>
              <w:numPr>
                <w:ilvl w:val="0"/>
                <w:numId w:val="13"/>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合议庭必须由审判员和陪审员组成</w:t>
            </w:r>
          </w:p>
          <w:p>
            <w:pPr>
              <w:pStyle w:val="6"/>
              <w:numPr>
                <w:ilvl w:val="0"/>
                <w:numId w:val="13"/>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涉及国家秘密、个人隐私和商业秘密的行政案件，一律不公开审理</w:t>
            </w:r>
          </w:p>
          <w:p>
            <w:pPr>
              <w:pStyle w:val="6"/>
              <w:numPr>
                <w:ilvl w:val="0"/>
                <w:numId w:val="13"/>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人民法院应当在立案之日起</w:t>
            </w:r>
            <w:r>
              <w:rPr>
                <w:rFonts w:ascii="宋体" w:hAnsi="宋体"/>
                <w:color w:val="000000" w:themeColor="text1"/>
                <w:kern w:val="2"/>
                <w:sz w:val="20"/>
                <w:szCs w:val="20"/>
                <w14:textFill>
                  <w14:solidFill>
                    <w14:schemeClr w14:val="tx1"/>
                  </w14:solidFill>
                </w14:textFill>
              </w:rPr>
              <w:t>6</w:t>
            </w:r>
            <w:r>
              <w:rPr>
                <w:rFonts w:hint="eastAsia" w:ascii="宋体" w:hAnsi="宋体"/>
                <w:color w:val="000000" w:themeColor="text1"/>
                <w:kern w:val="2"/>
                <w:sz w:val="20"/>
                <w:szCs w:val="20"/>
                <w14:textFill>
                  <w14:solidFill>
                    <w14:schemeClr w14:val="tx1"/>
                  </w14:solidFill>
                </w14:textFill>
              </w:rPr>
              <w:t>个月内作出第一审判决</w:t>
            </w:r>
          </w:p>
        </w:tc>
        <w:tc>
          <w:tcPr>
            <w:tcW w:w="1100" w:type="dxa"/>
            <w:gridSpan w:val="2"/>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spacing w:after="31" w:afterLines="10" w:line="288" w:lineRule="auto"/>
              <w:rPr>
                <w:rFonts w:ascii="宋体"/>
                <w:caps/>
                <w:color w:val="000000" w:themeColor="text1"/>
                <w:sz w:val="20"/>
                <w:szCs w:val="20"/>
                <w14:textFill>
                  <w14:solidFill>
                    <w14:schemeClr w14:val="tx1"/>
                  </w14:solidFill>
                </w14:textFill>
              </w:rPr>
            </w:pPr>
            <w:r>
              <w:rPr>
                <w:rFonts w:hint="eastAsia" w:ascii="宋体" w:hAnsi="宋体"/>
                <w:caps/>
                <w:color w:val="000000" w:themeColor="text1"/>
                <w:sz w:val="20"/>
                <w:szCs w:val="20"/>
                <w14:textFill>
                  <w14:solidFill>
                    <w14:schemeClr w14:val="tx1"/>
                  </w14:solidFill>
                </w14:textFill>
              </w:rPr>
              <w:t>关于行政许可，下列哪些说法是错误的？（</w:t>
            </w:r>
            <w:r>
              <w:rPr>
                <w:rFonts w:ascii="宋体" w:hAnsi="宋体"/>
                <w:caps/>
                <w:color w:val="000000" w:themeColor="text1"/>
                <w:sz w:val="20"/>
                <w:szCs w:val="20"/>
                <w14:textFill>
                  <w14:solidFill>
                    <w14:schemeClr w14:val="tx1"/>
                  </w14:solidFill>
                </w14:textFill>
              </w:rPr>
              <w:t xml:space="preserve">   </w:t>
            </w:r>
            <w:r>
              <w:rPr>
                <w:rFonts w:hint="eastAsia" w:ascii="宋体" w:hAnsi="宋体"/>
                <w:caps/>
                <w:color w:val="000000" w:themeColor="text1"/>
                <w:sz w:val="20"/>
                <w:szCs w:val="20"/>
                <w14:textFill>
                  <w14:solidFill>
                    <w14:schemeClr w14:val="tx1"/>
                  </w14:solidFill>
                </w14:textFill>
              </w:rPr>
              <w:t>）</w:t>
            </w:r>
          </w:p>
          <w:p>
            <w:pPr>
              <w:spacing w:after="31" w:afterLines="10" w:line="288" w:lineRule="auto"/>
              <w:rPr>
                <w:rFonts w:ascii="宋体"/>
                <w:caps/>
                <w:color w:val="000000" w:themeColor="text1"/>
                <w:sz w:val="20"/>
                <w:szCs w:val="20"/>
                <w14:textFill>
                  <w14:solidFill>
                    <w14:schemeClr w14:val="tx1"/>
                  </w14:solidFill>
                </w14:textFill>
              </w:rPr>
            </w:pPr>
            <w:r>
              <w:rPr>
                <w:rFonts w:ascii="宋体" w:hAnsi="宋体"/>
                <w:caps/>
                <w:color w:val="000000" w:themeColor="text1"/>
                <w:sz w:val="20"/>
                <w:szCs w:val="20"/>
                <w14:textFill>
                  <w14:solidFill>
                    <w14:schemeClr w14:val="tx1"/>
                  </w14:solidFill>
                </w14:textFill>
              </w:rPr>
              <w:fldChar w:fldCharType="begin"/>
            </w:r>
            <w:r>
              <w:rPr>
                <w:rFonts w:ascii="宋体" w:hAnsi="宋体"/>
                <w:caps/>
                <w:color w:val="000000" w:themeColor="text1"/>
                <w:sz w:val="20"/>
                <w:szCs w:val="20"/>
                <w14:textFill>
                  <w14:solidFill>
                    <w14:schemeClr w14:val="tx1"/>
                  </w14:solidFill>
                </w14:textFill>
              </w:rPr>
              <w:instrText xml:space="preserve"> = 1 \* GB3 \* MERGEFORMAT </w:instrText>
            </w:r>
            <w:r>
              <w:rPr>
                <w:rFonts w:ascii="宋体" w:hAnsi="宋体"/>
                <w:caps/>
                <w:color w:val="000000" w:themeColor="text1"/>
                <w:sz w:val="20"/>
                <w:szCs w:val="20"/>
                <w14:textFill>
                  <w14:solidFill>
                    <w14:schemeClr w14:val="tx1"/>
                  </w14:solidFill>
                </w14:textFill>
              </w:rPr>
              <w:fldChar w:fldCharType="separate"/>
            </w:r>
            <w:r>
              <w:rPr>
                <w:rFonts w:hint="eastAsia" w:ascii="宋体" w:hAnsi="宋体"/>
                <w:caps/>
                <w:color w:val="000000" w:themeColor="text1"/>
                <w:sz w:val="20"/>
                <w:szCs w:val="20"/>
                <w14:textFill>
                  <w14:solidFill>
                    <w14:schemeClr w14:val="tx1"/>
                  </w14:solidFill>
                </w14:textFill>
              </w:rPr>
              <w:t>①</w:t>
            </w:r>
            <w:r>
              <w:rPr>
                <w:rFonts w:ascii="宋体" w:hAnsi="宋体"/>
                <w:caps/>
                <w:color w:val="000000" w:themeColor="text1"/>
                <w:sz w:val="20"/>
                <w:szCs w:val="20"/>
                <w14:textFill>
                  <w14:solidFill>
                    <w14:schemeClr w14:val="tx1"/>
                  </w14:solidFill>
                </w14:textFill>
              </w:rPr>
              <w:fldChar w:fldCharType="end"/>
            </w:r>
            <w:r>
              <w:rPr>
                <w:rFonts w:hint="eastAsia" w:ascii="宋体" w:hAnsi="宋体"/>
                <w:caps/>
                <w:color w:val="000000" w:themeColor="text1"/>
                <w:sz w:val="20"/>
                <w:szCs w:val="20"/>
                <w14:textFill>
                  <w14:solidFill>
                    <w14:schemeClr w14:val="tx1"/>
                  </w14:solidFill>
                </w14:textFill>
              </w:rPr>
              <w:t>行政许可是双方行为</w:t>
            </w:r>
          </w:p>
          <w:p>
            <w:pPr>
              <w:spacing w:after="31" w:afterLines="10" w:line="288" w:lineRule="auto"/>
              <w:rPr>
                <w:rFonts w:ascii="宋体"/>
                <w:caps/>
                <w:color w:val="000000" w:themeColor="text1"/>
                <w:sz w:val="20"/>
                <w:szCs w:val="20"/>
                <w14:textFill>
                  <w14:solidFill>
                    <w14:schemeClr w14:val="tx1"/>
                  </w14:solidFill>
                </w14:textFill>
              </w:rPr>
            </w:pPr>
            <w:r>
              <w:rPr>
                <w:rFonts w:ascii="宋体" w:hAnsi="宋体"/>
                <w:caps/>
                <w:color w:val="000000" w:themeColor="text1"/>
                <w:sz w:val="20"/>
                <w:szCs w:val="20"/>
                <w14:textFill>
                  <w14:solidFill>
                    <w14:schemeClr w14:val="tx1"/>
                  </w14:solidFill>
                </w14:textFill>
              </w:rPr>
              <w:fldChar w:fldCharType="begin"/>
            </w:r>
            <w:r>
              <w:rPr>
                <w:rFonts w:ascii="宋体" w:hAnsi="宋体"/>
                <w:caps/>
                <w:color w:val="000000" w:themeColor="text1"/>
                <w:sz w:val="20"/>
                <w:szCs w:val="20"/>
                <w14:textFill>
                  <w14:solidFill>
                    <w14:schemeClr w14:val="tx1"/>
                  </w14:solidFill>
                </w14:textFill>
              </w:rPr>
              <w:instrText xml:space="preserve"> = 2 \* GB3 \* MERGEFORMAT </w:instrText>
            </w:r>
            <w:r>
              <w:rPr>
                <w:rFonts w:ascii="宋体" w:hAnsi="宋体"/>
                <w:caps/>
                <w:color w:val="000000" w:themeColor="text1"/>
                <w:sz w:val="20"/>
                <w:szCs w:val="20"/>
                <w14:textFill>
                  <w14:solidFill>
                    <w14:schemeClr w14:val="tx1"/>
                  </w14:solidFill>
                </w14:textFill>
              </w:rPr>
              <w:fldChar w:fldCharType="separate"/>
            </w:r>
            <w:r>
              <w:rPr>
                <w:rFonts w:hint="eastAsia" w:ascii="宋体" w:hAnsi="宋体"/>
                <w:caps/>
                <w:color w:val="000000" w:themeColor="text1"/>
                <w:sz w:val="20"/>
                <w:szCs w:val="20"/>
                <w14:textFill>
                  <w14:solidFill>
                    <w14:schemeClr w14:val="tx1"/>
                  </w14:solidFill>
                </w14:textFill>
              </w:rPr>
              <w:t>②</w:t>
            </w:r>
            <w:r>
              <w:rPr>
                <w:rFonts w:ascii="宋体" w:hAnsi="宋体"/>
                <w:caps/>
                <w:color w:val="000000" w:themeColor="text1"/>
                <w:sz w:val="20"/>
                <w:szCs w:val="20"/>
                <w14:textFill>
                  <w14:solidFill>
                    <w14:schemeClr w14:val="tx1"/>
                  </w14:solidFill>
                </w14:textFill>
              </w:rPr>
              <w:fldChar w:fldCharType="end"/>
            </w:r>
            <w:r>
              <w:rPr>
                <w:rFonts w:hint="eastAsia" w:ascii="宋体" w:hAnsi="宋体"/>
                <w:caps/>
                <w:color w:val="000000" w:themeColor="text1"/>
                <w:sz w:val="20"/>
                <w:szCs w:val="20"/>
                <w14:textFill>
                  <w14:solidFill>
                    <w14:schemeClr w14:val="tx1"/>
                  </w14:solidFill>
                </w14:textFill>
              </w:rPr>
              <w:t>行政许可是具体行政行为</w:t>
            </w:r>
          </w:p>
          <w:p>
            <w:pPr>
              <w:spacing w:after="31" w:afterLines="10" w:line="288" w:lineRule="auto"/>
              <w:rPr>
                <w:rFonts w:ascii="宋体"/>
                <w:caps/>
                <w:color w:val="000000" w:themeColor="text1"/>
                <w:sz w:val="20"/>
                <w:szCs w:val="20"/>
                <w14:textFill>
                  <w14:solidFill>
                    <w14:schemeClr w14:val="tx1"/>
                  </w14:solidFill>
                </w14:textFill>
              </w:rPr>
            </w:pPr>
            <w:r>
              <w:rPr>
                <w:rFonts w:ascii="宋体" w:hAnsi="宋体"/>
                <w:caps/>
                <w:color w:val="000000" w:themeColor="text1"/>
                <w:sz w:val="20"/>
                <w:szCs w:val="20"/>
                <w14:textFill>
                  <w14:solidFill>
                    <w14:schemeClr w14:val="tx1"/>
                  </w14:solidFill>
                </w14:textFill>
              </w:rPr>
              <w:fldChar w:fldCharType="begin"/>
            </w:r>
            <w:r>
              <w:rPr>
                <w:rFonts w:ascii="宋体" w:hAnsi="宋体"/>
                <w:caps/>
                <w:color w:val="000000" w:themeColor="text1"/>
                <w:sz w:val="20"/>
                <w:szCs w:val="20"/>
                <w14:textFill>
                  <w14:solidFill>
                    <w14:schemeClr w14:val="tx1"/>
                  </w14:solidFill>
                </w14:textFill>
              </w:rPr>
              <w:instrText xml:space="preserve"> = 3 \* GB3 \* MERGEFORMAT </w:instrText>
            </w:r>
            <w:r>
              <w:rPr>
                <w:rFonts w:ascii="宋体" w:hAnsi="宋体"/>
                <w:caps/>
                <w:color w:val="000000" w:themeColor="text1"/>
                <w:sz w:val="20"/>
                <w:szCs w:val="20"/>
                <w14:textFill>
                  <w14:solidFill>
                    <w14:schemeClr w14:val="tx1"/>
                  </w14:solidFill>
                </w14:textFill>
              </w:rPr>
              <w:fldChar w:fldCharType="separate"/>
            </w:r>
            <w:r>
              <w:rPr>
                <w:rFonts w:hint="eastAsia" w:ascii="宋体" w:hAnsi="宋体"/>
                <w:caps/>
                <w:color w:val="000000" w:themeColor="text1"/>
                <w:sz w:val="20"/>
                <w:szCs w:val="20"/>
                <w14:textFill>
                  <w14:solidFill>
                    <w14:schemeClr w14:val="tx1"/>
                  </w14:solidFill>
                </w14:textFill>
              </w:rPr>
              <w:t>③</w:t>
            </w:r>
            <w:r>
              <w:rPr>
                <w:rFonts w:ascii="宋体" w:hAnsi="宋体"/>
                <w:caps/>
                <w:color w:val="000000" w:themeColor="text1"/>
                <w:sz w:val="20"/>
                <w:szCs w:val="20"/>
                <w14:textFill>
                  <w14:solidFill>
                    <w14:schemeClr w14:val="tx1"/>
                  </w14:solidFill>
                </w14:textFill>
              </w:rPr>
              <w:fldChar w:fldCharType="end"/>
            </w:r>
            <w:r>
              <w:rPr>
                <w:rFonts w:hint="eastAsia" w:ascii="宋体" w:hAnsi="宋体"/>
                <w:caps/>
                <w:color w:val="000000" w:themeColor="text1"/>
                <w:sz w:val="20"/>
                <w:szCs w:val="20"/>
                <w14:textFill>
                  <w14:solidFill>
                    <w14:schemeClr w14:val="tx1"/>
                  </w14:solidFill>
                </w14:textFill>
              </w:rPr>
              <w:t>行政许可是依职权行政行为</w:t>
            </w:r>
          </w:p>
          <w:p>
            <w:pPr>
              <w:spacing w:after="31" w:afterLines="10" w:line="288" w:lineRule="auto"/>
              <w:rPr>
                <w:rFonts w:ascii="宋体"/>
                <w:caps/>
                <w:color w:val="000000" w:themeColor="text1"/>
                <w:sz w:val="20"/>
                <w:szCs w:val="20"/>
                <w14:textFill>
                  <w14:solidFill>
                    <w14:schemeClr w14:val="tx1"/>
                  </w14:solidFill>
                </w14:textFill>
              </w:rPr>
            </w:pPr>
            <w:r>
              <w:rPr>
                <w:rFonts w:ascii="宋体" w:hAnsi="宋体"/>
                <w:caps/>
                <w:color w:val="000000" w:themeColor="text1"/>
                <w:sz w:val="20"/>
                <w:szCs w:val="20"/>
                <w14:textFill>
                  <w14:solidFill>
                    <w14:schemeClr w14:val="tx1"/>
                  </w14:solidFill>
                </w14:textFill>
              </w:rPr>
              <w:fldChar w:fldCharType="begin"/>
            </w:r>
            <w:r>
              <w:rPr>
                <w:rFonts w:ascii="宋体" w:hAnsi="宋体"/>
                <w:caps/>
                <w:color w:val="000000" w:themeColor="text1"/>
                <w:sz w:val="20"/>
                <w:szCs w:val="20"/>
                <w14:textFill>
                  <w14:solidFill>
                    <w14:schemeClr w14:val="tx1"/>
                  </w14:solidFill>
                </w14:textFill>
              </w:rPr>
              <w:instrText xml:space="preserve"> = 4 \* GB3 \* MERGEFORMAT </w:instrText>
            </w:r>
            <w:r>
              <w:rPr>
                <w:rFonts w:ascii="宋体" w:hAnsi="宋体"/>
                <w:caps/>
                <w:color w:val="000000" w:themeColor="text1"/>
                <w:sz w:val="20"/>
                <w:szCs w:val="20"/>
                <w14:textFill>
                  <w14:solidFill>
                    <w14:schemeClr w14:val="tx1"/>
                  </w14:solidFill>
                </w14:textFill>
              </w:rPr>
              <w:fldChar w:fldCharType="separate"/>
            </w:r>
            <w:r>
              <w:rPr>
                <w:rFonts w:hint="eastAsia" w:ascii="宋体" w:hAnsi="宋体"/>
                <w:caps/>
                <w:color w:val="000000" w:themeColor="text1"/>
                <w:sz w:val="20"/>
                <w:szCs w:val="20"/>
                <w14:textFill>
                  <w14:solidFill>
                    <w14:schemeClr w14:val="tx1"/>
                  </w14:solidFill>
                </w14:textFill>
              </w:rPr>
              <w:t>④</w:t>
            </w:r>
            <w:r>
              <w:rPr>
                <w:rFonts w:ascii="宋体" w:hAnsi="宋体"/>
                <w:caps/>
                <w:color w:val="000000" w:themeColor="text1"/>
                <w:sz w:val="20"/>
                <w:szCs w:val="20"/>
                <w14:textFill>
                  <w14:solidFill>
                    <w14:schemeClr w14:val="tx1"/>
                  </w14:solidFill>
                </w14:textFill>
              </w:rPr>
              <w:fldChar w:fldCharType="end"/>
            </w:r>
            <w:r>
              <w:rPr>
                <w:rFonts w:hint="eastAsia" w:ascii="宋体" w:hAnsi="宋体"/>
                <w:caps/>
                <w:color w:val="000000" w:themeColor="text1"/>
                <w:sz w:val="20"/>
                <w:szCs w:val="20"/>
                <w14:textFill>
                  <w14:solidFill>
                    <w14:schemeClr w14:val="tx1"/>
                  </w14:solidFill>
                </w14:textFill>
              </w:rPr>
              <w:t>行政许可是负担性行政行为</w:t>
            </w:r>
          </w:p>
        </w:tc>
        <w:tc>
          <w:tcPr>
            <w:tcW w:w="4111" w:type="dxa"/>
            <w:gridSpan w:val="2"/>
          </w:tcPr>
          <w:p>
            <w:pPr>
              <w:rPr>
                <w:color w:val="000000" w:themeColor="text1"/>
                <w14:textFill>
                  <w14:solidFill>
                    <w14:schemeClr w14:val="tx1"/>
                  </w14:solidFill>
                </w14:textFill>
              </w:rPr>
            </w:pPr>
            <w:r>
              <w:rPr>
                <w:color w:val="000000" w:themeColor="text1"/>
                <w14:textFill>
                  <w14:solidFill>
                    <w14:schemeClr w14:val="tx1"/>
                  </w14:solidFill>
                </w14:textFill>
              </w:rPr>
              <w:t>A.</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 1 \* GB3 \* MERGEFORMAT </w:instrText>
            </w:r>
            <w:r>
              <w:rPr>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①</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 2 \* GB3 \* MERGEFORMAT </w:instrText>
            </w:r>
            <w:r>
              <w:rPr>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②</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 3 \* GB3 \* MERGEFORMAT </w:instrText>
            </w:r>
            <w:r>
              <w:rPr>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③</w:t>
            </w:r>
            <w:r>
              <w:rPr>
                <w:color w:val="000000" w:themeColor="text1"/>
                <w14:textFill>
                  <w14:solidFill>
                    <w14:schemeClr w14:val="tx1"/>
                  </w14:solidFill>
                </w14:textFill>
              </w:rPr>
              <w:fldChar w:fldCharType="end"/>
            </w:r>
          </w:p>
          <w:p>
            <w:pPr>
              <w:rPr>
                <w:color w:val="000000" w:themeColor="text1"/>
                <w14:textFill>
                  <w14:solidFill>
                    <w14:schemeClr w14:val="tx1"/>
                  </w14:solidFill>
                </w14:textFill>
              </w:rPr>
            </w:pPr>
            <w:r>
              <w:rPr>
                <w:color w:val="000000" w:themeColor="text1"/>
                <w14:textFill>
                  <w14:solidFill>
                    <w14:schemeClr w14:val="tx1"/>
                  </w14:solidFill>
                </w14:textFill>
              </w:rPr>
              <w:t>B.</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 1 \* GB3 \* MERGEFORMAT </w:instrText>
            </w:r>
            <w:r>
              <w:rPr>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①</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 2 \* GB3 \* MERGEFORMAT </w:instrText>
            </w:r>
            <w:r>
              <w:rPr>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②</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 4 \* GB3 \* MERGEFORMAT </w:instrText>
            </w:r>
            <w:r>
              <w:rPr>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④</w:t>
            </w:r>
            <w:r>
              <w:rPr>
                <w:color w:val="000000" w:themeColor="text1"/>
                <w14:textFill>
                  <w14:solidFill>
                    <w14:schemeClr w14:val="tx1"/>
                  </w14:solidFill>
                </w14:textFill>
              </w:rPr>
              <w:fldChar w:fldCharType="end"/>
            </w:r>
          </w:p>
          <w:p>
            <w:pPr>
              <w:rPr>
                <w:color w:val="000000" w:themeColor="text1"/>
                <w14:textFill>
                  <w14:solidFill>
                    <w14:schemeClr w14:val="tx1"/>
                  </w14:solidFill>
                </w14:textFill>
              </w:rPr>
            </w:pPr>
            <w:r>
              <w:rPr>
                <w:color w:val="000000" w:themeColor="text1"/>
                <w14:textFill>
                  <w14:solidFill>
                    <w14:schemeClr w14:val="tx1"/>
                  </w14:solidFill>
                </w14:textFill>
              </w:rPr>
              <w:t>C.</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 1 \* GB3 \* MERGEFORMAT </w:instrText>
            </w:r>
            <w:r>
              <w:rPr>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①</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 3 \* GB3 \* MERGEFORMAT </w:instrText>
            </w:r>
            <w:r>
              <w:rPr>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③</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 4 \* GB3 \* MERGEFORMAT </w:instrText>
            </w:r>
            <w:r>
              <w:rPr>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④</w:t>
            </w:r>
            <w:r>
              <w:rPr>
                <w:color w:val="000000" w:themeColor="text1"/>
                <w14:textFill>
                  <w14:solidFill>
                    <w14:schemeClr w14:val="tx1"/>
                  </w14:solidFill>
                </w14:textFill>
              </w:rPr>
              <w:fldChar w:fldCharType="end"/>
            </w:r>
          </w:p>
          <w:p>
            <w:pPr>
              <w:rPr>
                <w:color w:val="000000" w:themeColor="text1"/>
                <w14:textFill>
                  <w14:solidFill>
                    <w14:schemeClr w14:val="tx1"/>
                  </w14:solidFill>
                </w14:textFill>
              </w:rPr>
            </w:pPr>
            <w:r>
              <w:rPr>
                <w:color w:val="000000" w:themeColor="text1"/>
                <w14:textFill>
                  <w14:solidFill>
                    <w14:schemeClr w14:val="tx1"/>
                  </w14:solidFill>
                </w14:textFill>
              </w:rPr>
              <w:t>D.</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 2 \* GB3 \* MERGEFORMAT </w:instrText>
            </w:r>
            <w:r>
              <w:rPr>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②</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 3 \* GB3 \* MERGEFORMAT </w:instrText>
            </w:r>
            <w:r>
              <w:rPr>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③</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 4 \* GB3 \* MERGEFORMAT </w:instrText>
            </w:r>
            <w:r>
              <w:rPr>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④</w:t>
            </w:r>
            <w:r>
              <w:rPr>
                <w:color w:val="000000" w:themeColor="text1"/>
                <w14:textFill>
                  <w14:solidFill>
                    <w14:schemeClr w14:val="tx1"/>
                  </w14:solidFill>
                </w14:textFill>
              </w:rPr>
              <w:fldChar w:fldCharType="end"/>
            </w:r>
          </w:p>
          <w:p>
            <w:pPr>
              <w:pStyle w:val="6"/>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p>
        </w:tc>
        <w:tc>
          <w:tcPr>
            <w:tcW w:w="1100" w:type="dxa"/>
            <w:gridSpan w:val="2"/>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9" w:type="dxa"/>
            <w:gridSpan w:val="2"/>
          </w:tcPr>
          <w:p>
            <w:pPr>
              <w:snapToGrid w:val="0"/>
              <w:spacing w:line="340" w:lineRule="exact"/>
              <w:rPr>
                <w:rFonts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关于合法行政原则，下列说法错误的是（   ）。</w:t>
            </w:r>
          </w:p>
        </w:tc>
        <w:tc>
          <w:tcPr>
            <w:tcW w:w="4111" w:type="dxa"/>
            <w:gridSpan w:val="2"/>
          </w:tcPr>
          <w:p>
            <w:pPr>
              <w:pStyle w:val="6"/>
              <w:numPr>
                <w:ilvl w:val="0"/>
                <w:numId w:val="14"/>
              </w:numPr>
              <w:adjustRightInd w:val="0"/>
              <w:snapToGrid w:val="0"/>
              <w:spacing w:after="0" w:line="360" w:lineRule="exact"/>
              <w:ind w:firstLine="0" w:firstLineChars="0"/>
              <w:rPr>
                <w:rFonts w:ascii="宋体" w:hAns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合法行政原则是行政法的首要原则</w:t>
            </w:r>
          </w:p>
          <w:p>
            <w:pPr>
              <w:pStyle w:val="6"/>
              <w:numPr>
                <w:ilvl w:val="0"/>
                <w:numId w:val="14"/>
              </w:numPr>
              <w:adjustRightInd w:val="0"/>
              <w:snapToGrid w:val="0"/>
              <w:spacing w:after="0" w:line="360" w:lineRule="exact"/>
              <w:ind w:firstLine="0" w:firstLineChars="0"/>
              <w:rPr>
                <w:rFonts w:ascii="宋体" w:hAns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合法行政原则包含法律优先、法律保留等子原则</w:t>
            </w:r>
          </w:p>
          <w:p>
            <w:pPr>
              <w:pStyle w:val="6"/>
              <w:numPr>
                <w:ilvl w:val="0"/>
                <w:numId w:val="14"/>
              </w:numPr>
              <w:adjustRightInd w:val="0"/>
              <w:snapToGrid w:val="0"/>
              <w:spacing w:after="0" w:line="360" w:lineRule="exact"/>
              <w:ind w:firstLine="0" w:firstLineChars="0"/>
              <w:rPr>
                <w:rFonts w:ascii="宋体" w:hAns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合法行政原则的主要含义是行政决定应当公平、公正，符合理性</w:t>
            </w:r>
          </w:p>
          <w:p>
            <w:pPr>
              <w:pStyle w:val="6"/>
              <w:numPr>
                <w:ilvl w:val="0"/>
                <w:numId w:val="14"/>
              </w:numPr>
              <w:adjustRightInd w:val="0"/>
              <w:snapToGrid w:val="0"/>
              <w:spacing w:after="0" w:line="360" w:lineRule="exact"/>
              <w:ind w:firstLine="0" w:firstLineChars="0"/>
              <w:rPr>
                <w:rFonts w:ascii="宋体" w:hAns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合法行政原则要求行政机关应当积极履行行政法律规范规定的义务与职责</w:t>
            </w:r>
          </w:p>
        </w:tc>
        <w:tc>
          <w:tcPr>
            <w:tcW w:w="1083" w:type="dxa"/>
            <w:vAlign w:val="center"/>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hint="eastAsia" w:asciiTheme="minorEastAsia" w:hAnsiTheme="minorEastAsia" w:eastAsiaTheme="minorEastAsia"/>
                <w:caps/>
                <w:color w:val="000000" w:themeColor="text1"/>
                <w:sz w:val="20"/>
                <w:szCs w:val="20"/>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关于具体行政行为的成立要件和效力，下列说法正确的是（</w:t>
            </w:r>
            <w:r>
              <w:rPr>
                <w:rFonts w:ascii="宋体" w:hAnsi="宋体"/>
                <w:caps/>
                <w:color w:val="000000" w:themeColor="text1"/>
                <w:kern w:val="2"/>
                <w:sz w:val="20"/>
                <w:szCs w:val="20"/>
                <w14:textFill>
                  <w14:solidFill>
                    <w14:schemeClr w14:val="tx1"/>
                  </w14:solidFill>
                </w14:textFill>
              </w:rPr>
              <w:t xml:space="preserve">   </w:t>
            </w:r>
            <w:r>
              <w:rPr>
                <w:rFonts w:hint="eastAsia" w:ascii="宋体" w:hAnsi="宋体"/>
                <w:caps/>
                <w:color w:val="000000" w:themeColor="text1"/>
                <w:kern w:val="2"/>
                <w:sz w:val="20"/>
                <w:szCs w:val="20"/>
                <w14:textFill>
                  <w14:solidFill>
                    <w14:schemeClr w14:val="tx1"/>
                  </w14:solidFill>
                </w14:textFill>
              </w:rPr>
              <w:t>）。</w:t>
            </w:r>
          </w:p>
        </w:tc>
        <w:tc>
          <w:tcPr>
            <w:tcW w:w="4111" w:type="dxa"/>
            <w:gridSpan w:val="2"/>
          </w:tcPr>
          <w:p>
            <w:pPr>
              <w:pStyle w:val="6"/>
              <w:numPr>
                <w:ilvl w:val="0"/>
                <w:numId w:val="15"/>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与抽象行政行为不同，具体行政行为一经成立，即合法有效</w:t>
            </w:r>
          </w:p>
          <w:p>
            <w:pPr>
              <w:pStyle w:val="6"/>
              <w:numPr>
                <w:ilvl w:val="0"/>
                <w:numId w:val="15"/>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若行政主体超越职权实施具体行政行为，则该行为不成立</w:t>
            </w:r>
          </w:p>
          <w:p>
            <w:pPr>
              <w:pStyle w:val="6"/>
              <w:numPr>
                <w:ilvl w:val="0"/>
                <w:numId w:val="15"/>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行政主体非经法定程序不得任意撤销具体行政行为，是行政行为执行力的表现</w:t>
            </w:r>
          </w:p>
          <w:p>
            <w:pPr>
              <w:pStyle w:val="6"/>
              <w:numPr>
                <w:ilvl w:val="0"/>
                <w:numId w:val="15"/>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某林业局公务员不表明身份即向农户征用林地，农户可以以其行为无效为由拒绝执行</w:t>
            </w:r>
          </w:p>
        </w:tc>
        <w:tc>
          <w:tcPr>
            <w:tcW w:w="1100" w:type="dxa"/>
            <w:gridSpan w:val="2"/>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9" w:type="dxa"/>
            <w:gridSpan w:val="2"/>
          </w:tcPr>
          <w:p>
            <w:pPr>
              <w:snapToGrid w:val="0"/>
              <w:spacing w:line="340" w:lineRule="exact"/>
              <w:rPr>
                <w:rFonts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国务院某部制定一行政规章，规定对某种行政违法行为除处罚单位外，还要给予直接责任人罚款的行政处罚。但在行政法规中，有关对这类违法行为进行处罚的规定并未要求对直接责任人给予行政处罚。据此，根据《行政处罚法》，该规章（   ）。</w:t>
            </w:r>
          </w:p>
        </w:tc>
        <w:tc>
          <w:tcPr>
            <w:tcW w:w="4111" w:type="dxa"/>
            <w:gridSpan w:val="2"/>
          </w:tcPr>
          <w:p>
            <w:pPr>
              <w:pStyle w:val="6"/>
              <w:numPr>
                <w:ilvl w:val="0"/>
                <w:numId w:val="16"/>
              </w:numPr>
              <w:adjustRightInd w:val="0"/>
              <w:snapToGrid w:val="0"/>
              <w:spacing w:after="0" w:line="360" w:lineRule="exact"/>
              <w:ind w:firstLine="0" w:firstLineChars="0"/>
              <w:rPr>
                <w:rFonts w:ascii="宋体" w:hAns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不违法</w:t>
            </w:r>
          </w:p>
          <w:p>
            <w:pPr>
              <w:pStyle w:val="6"/>
              <w:numPr>
                <w:ilvl w:val="0"/>
                <w:numId w:val="16"/>
              </w:numPr>
              <w:adjustRightInd w:val="0"/>
              <w:snapToGrid w:val="0"/>
              <w:spacing w:after="0" w:line="360" w:lineRule="exact"/>
              <w:ind w:firstLine="0" w:firstLineChars="0"/>
              <w:rPr>
                <w:rFonts w:ascii="宋体" w:hAns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违法，因为部门规章无权设定行政处罚</w:t>
            </w:r>
          </w:p>
          <w:p>
            <w:pPr>
              <w:pStyle w:val="6"/>
              <w:numPr>
                <w:ilvl w:val="0"/>
                <w:numId w:val="16"/>
              </w:numPr>
              <w:adjustRightInd w:val="0"/>
              <w:snapToGrid w:val="0"/>
              <w:spacing w:after="0" w:line="360" w:lineRule="exact"/>
              <w:ind w:firstLine="0" w:firstLineChars="0"/>
              <w:rPr>
                <w:rFonts w:ascii="宋体" w:hAns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违法，因为部门规章无权设定罚款的行政处罚</w:t>
            </w:r>
          </w:p>
          <w:p>
            <w:pPr>
              <w:pStyle w:val="6"/>
              <w:numPr>
                <w:ilvl w:val="0"/>
                <w:numId w:val="16"/>
              </w:numPr>
              <w:adjustRightInd w:val="0"/>
              <w:snapToGrid w:val="0"/>
              <w:spacing w:after="0" w:line="360" w:lineRule="exact"/>
              <w:ind w:firstLine="0" w:firstLineChars="0"/>
              <w:rPr>
                <w:rFonts w:ascii="宋体" w:hAns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违法，因为超出行政法规规定的行政处罚范围</w:t>
            </w:r>
          </w:p>
        </w:tc>
        <w:tc>
          <w:tcPr>
            <w:tcW w:w="1083" w:type="dxa"/>
            <w:vAlign w:val="center"/>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hint="eastAsia" w:asciiTheme="minorEastAsia" w:hAnsiTheme="minorEastAsia" w:eastAsiaTheme="minorEastAsia"/>
                <w:caps/>
                <w:color w:val="000000" w:themeColor="text1"/>
                <w:sz w:val="20"/>
                <w:szCs w:val="20"/>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9" w:type="dxa"/>
            <w:gridSpan w:val="2"/>
          </w:tcPr>
          <w:p>
            <w:pPr>
              <w:snapToGrid w:val="0"/>
              <w:spacing w:line="340" w:lineRule="exact"/>
              <w:rPr>
                <w:rFonts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行政机关所实施的下列行为中，属于具体行政行为的是（   ）。</w:t>
            </w:r>
          </w:p>
        </w:tc>
        <w:tc>
          <w:tcPr>
            <w:tcW w:w="4111" w:type="dxa"/>
            <w:gridSpan w:val="2"/>
          </w:tcPr>
          <w:p>
            <w:pPr>
              <w:pStyle w:val="6"/>
              <w:numPr>
                <w:ilvl w:val="0"/>
                <w:numId w:val="17"/>
              </w:numPr>
              <w:adjustRightInd w:val="0"/>
              <w:snapToGrid w:val="0"/>
              <w:spacing w:after="0" w:line="360" w:lineRule="exact"/>
              <w:ind w:firstLine="0" w:firstLineChars="0"/>
              <w:rPr>
                <w:rFonts w:ascii="宋体" w:hAns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市公安局依照《刑事诉讼法》对赵某进行逮捕</w:t>
            </w:r>
          </w:p>
          <w:p>
            <w:pPr>
              <w:pStyle w:val="6"/>
              <w:numPr>
                <w:ilvl w:val="0"/>
                <w:numId w:val="17"/>
              </w:numPr>
              <w:adjustRightInd w:val="0"/>
              <w:snapToGrid w:val="0"/>
              <w:spacing w:after="0" w:line="360" w:lineRule="exact"/>
              <w:ind w:firstLine="0" w:firstLineChars="0"/>
              <w:rPr>
                <w:rFonts w:ascii="宋体" w:hAns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区公安交管局在辖区内城市快速路入口处悬挂“危险路段，谨慎驾驶”的横幅</w:t>
            </w:r>
          </w:p>
          <w:p>
            <w:pPr>
              <w:pStyle w:val="6"/>
              <w:numPr>
                <w:ilvl w:val="0"/>
                <w:numId w:val="17"/>
              </w:numPr>
              <w:adjustRightInd w:val="0"/>
              <w:snapToGrid w:val="0"/>
              <w:spacing w:after="0" w:line="360" w:lineRule="exact"/>
              <w:ind w:firstLine="0" w:firstLineChars="0"/>
              <w:rPr>
                <w:rFonts w:ascii="宋体" w:hAns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县政府对李某作出房屋征收决定</w:t>
            </w:r>
          </w:p>
          <w:p>
            <w:pPr>
              <w:pStyle w:val="6"/>
              <w:numPr>
                <w:ilvl w:val="0"/>
                <w:numId w:val="17"/>
              </w:numPr>
              <w:adjustRightInd w:val="0"/>
              <w:snapToGrid w:val="0"/>
              <w:spacing w:after="0" w:line="360" w:lineRule="exact"/>
              <w:ind w:firstLine="0" w:firstLineChars="0"/>
              <w:rPr>
                <w:rFonts w:ascii="宋体" w:hAns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县城管综合执法局与临街商户签订《“门前三包”责任协议书》</w:t>
            </w:r>
          </w:p>
        </w:tc>
        <w:tc>
          <w:tcPr>
            <w:tcW w:w="1083" w:type="dxa"/>
            <w:vAlign w:val="center"/>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hint="eastAsia" w:asciiTheme="minorEastAsia" w:hAnsiTheme="minorEastAsia" w:eastAsiaTheme="minorEastAsia"/>
                <w:caps/>
                <w:color w:val="000000" w:themeColor="text1"/>
                <w:sz w:val="20"/>
                <w:szCs w:val="20"/>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rPr>
                <w:rFonts w:asci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甲系某国税局工作人员。在一次执法过程中，甲发现上级下达的税收强制执行命令可能存在错误，遂向上级提出了撤销该命令的意见。上级接到甲的意见后，仍然要求继续执行该命令。对此，根据《公务员法》，下列说法正确的是（</w:t>
            </w:r>
            <w:r>
              <w:rPr>
                <w:rFonts w:ascii="宋体" w:hAnsi="宋体"/>
                <w:color w:val="000000" w:themeColor="text1"/>
                <w:sz w:val="20"/>
                <w:szCs w:val="20"/>
                <w14:textFill>
                  <w14:solidFill>
                    <w14:schemeClr w14:val="tx1"/>
                  </w14:solidFill>
                </w14:textFill>
              </w:rPr>
              <w:t xml:space="preserve">   </w:t>
            </w:r>
            <w:r>
              <w:rPr>
                <w:rFonts w:hint="eastAsia" w:ascii="宋体" w:hAnsi="宋体"/>
                <w:color w:val="000000" w:themeColor="text1"/>
                <w:sz w:val="20"/>
                <w:szCs w:val="20"/>
                <w14:textFill>
                  <w14:solidFill>
                    <w14:schemeClr w14:val="tx1"/>
                  </w14:solidFill>
                </w14:textFill>
              </w:rPr>
              <w:t>）。</w:t>
            </w:r>
          </w:p>
        </w:tc>
        <w:tc>
          <w:tcPr>
            <w:tcW w:w="4111" w:type="dxa"/>
            <w:gridSpan w:val="2"/>
          </w:tcPr>
          <w:p>
            <w:pPr>
              <w:pStyle w:val="6"/>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A.甲有权直接拒绝执行上级的命令</w:t>
            </w:r>
          </w:p>
          <w:p>
            <w:pPr>
              <w:pStyle w:val="6"/>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ascii="宋体" w:hAnsi="宋体"/>
                <w:color w:val="000000" w:themeColor="text1"/>
                <w:kern w:val="2"/>
                <w:sz w:val="20"/>
                <w:szCs w:val="20"/>
                <w14:textFill>
                  <w14:solidFill>
                    <w14:schemeClr w14:val="tx1"/>
                  </w14:solidFill>
                </w14:textFill>
              </w:rPr>
              <w:t>B.</w:t>
            </w:r>
            <w:r>
              <w:rPr>
                <w:rFonts w:hint="eastAsia" w:ascii="宋体" w:hAnsi="宋体"/>
                <w:color w:val="000000" w:themeColor="text1"/>
                <w:kern w:val="2"/>
                <w:sz w:val="20"/>
                <w:szCs w:val="20"/>
                <w14:textFill>
                  <w14:solidFill>
                    <w14:schemeClr w14:val="tx1"/>
                  </w14:solidFill>
                </w14:textFill>
              </w:rPr>
              <w:t>甲应当向上级的上级提出复议，在得到更进一步的指示前，可以拒绝执行该命令</w:t>
            </w:r>
          </w:p>
          <w:p>
            <w:pPr>
              <w:pStyle w:val="6"/>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ascii="宋体" w:hAnsi="宋体"/>
                <w:color w:val="000000" w:themeColor="text1"/>
                <w:kern w:val="2"/>
                <w:sz w:val="20"/>
                <w:szCs w:val="20"/>
                <w14:textFill>
                  <w14:solidFill>
                    <w14:schemeClr w14:val="tx1"/>
                  </w14:solidFill>
                </w14:textFill>
              </w:rPr>
              <w:t>C.</w:t>
            </w:r>
            <w:r>
              <w:rPr>
                <w:rFonts w:hint="eastAsia" w:ascii="宋体" w:hAnsi="宋体"/>
                <w:color w:val="000000" w:themeColor="text1"/>
                <w:kern w:val="2"/>
                <w:sz w:val="20"/>
                <w:szCs w:val="20"/>
                <w14:textFill>
                  <w14:solidFill>
                    <w14:schemeClr w14:val="tx1"/>
                  </w14:solidFill>
                </w14:textFill>
              </w:rPr>
              <w:t>甲应当执行上级的命令，且完全无需对执行的后果承担责任</w:t>
            </w:r>
          </w:p>
          <w:p>
            <w:pPr>
              <w:pStyle w:val="6"/>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ascii="宋体" w:hAnsi="宋体"/>
                <w:color w:val="000000" w:themeColor="text1"/>
                <w:kern w:val="2"/>
                <w:sz w:val="20"/>
                <w:szCs w:val="20"/>
                <w14:textFill>
                  <w14:solidFill>
                    <w14:schemeClr w14:val="tx1"/>
                  </w14:solidFill>
                </w14:textFill>
              </w:rPr>
              <w:t>D.</w:t>
            </w:r>
            <w:r>
              <w:rPr>
                <w:rFonts w:hint="eastAsia" w:ascii="宋体" w:hAnsi="宋体"/>
                <w:color w:val="000000" w:themeColor="text1"/>
                <w:kern w:val="2"/>
                <w:sz w:val="20"/>
                <w:szCs w:val="20"/>
                <w14:textFill>
                  <w14:solidFill>
                    <w14:schemeClr w14:val="tx1"/>
                  </w14:solidFill>
                </w14:textFill>
              </w:rPr>
              <w:t>甲应当执行上级的命令，仅在该命令明显违法时，甲才需要依法承担相应的责任</w:t>
            </w:r>
          </w:p>
        </w:tc>
        <w:tc>
          <w:tcPr>
            <w:tcW w:w="1100" w:type="dxa"/>
            <w:gridSpan w:val="2"/>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经市人民政府批准，市节水办受市政公用事业管理局的委托，由其工作人员李某对某企业进行了行政处罚。本案中的行政主体是（</w:t>
            </w:r>
            <w:r>
              <w:rPr>
                <w:rFonts w:ascii="宋体" w:hAnsi="宋体"/>
                <w:caps/>
                <w:color w:val="000000" w:themeColor="text1"/>
                <w:kern w:val="2"/>
                <w:sz w:val="20"/>
                <w:szCs w:val="20"/>
                <w14:textFill>
                  <w14:solidFill>
                    <w14:schemeClr w14:val="tx1"/>
                  </w14:solidFill>
                </w14:textFill>
              </w:rPr>
              <w:t xml:space="preserve">   </w:t>
            </w:r>
            <w:r>
              <w:rPr>
                <w:rFonts w:hint="eastAsia" w:ascii="宋体" w:hAnsi="宋体"/>
                <w:caps/>
                <w:color w:val="000000" w:themeColor="text1"/>
                <w:kern w:val="2"/>
                <w:sz w:val="20"/>
                <w:szCs w:val="20"/>
                <w14:textFill>
                  <w14:solidFill>
                    <w14:schemeClr w14:val="tx1"/>
                  </w14:solidFill>
                </w14:textFill>
              </w:rPr>
              <w:t>）。</w:t>
            </w:r>
          </w:p>
        </w:tc>
        <w:tc>
          <w:tcPr>
            <w:tcW w:w="4111" w:type="dxa"/>
            <w:gridSpan w:val="2"/>
          </w:tcPr>
          <w:p>
            <w:pPr>
              <w:pStyle w:val="6"/>
              <w:numPr>
                <w:ilvl w:val="0"/>
                <w:numId w:val="18"/>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市人民政府</w:t>
            </w:r>
          </w:p>
          <w:p>
            <w:pPr>
              <w:pStyle w:val="6"/>
              <w:numPr>
                <w:ilvl w:val="0"/>
                <w:numId w:val="18"/>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市节水办</w:t>
            </w:r>
          </w:p>
          <w:p>
            <w:pPr>
              <w:pStyle w:val="6"/>
              <w:numPr>
                <w:ilvl w:val="0"/>
                <w:numId w:val="18"/>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市政公用事业管理局</w:t>
            </w:r>
          </w:p>
          <w:p>
            <w:pPr>
              <w:pStyle w:val="6"/>
              <w:numPr>
                <w:ilvl w:val="0"/>
                <w:numId w:val="18"/>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李某</w:t>
            </w:r>
          </w:p>
        </w:tc>
        <w:tc>
          <w:tcPr>
            <w:tcW w:w="1100" w:type="dxa"/>
            <w:gridSpan w:val="2"/>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rPr>
                <w:rFonts w:asci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李克强总理在</w:t>
            </w:r>
            <w:r>
              <w:rPr>
                <w:rFonts w:ascii="宋体" w:hAnsi="宋体"/>
                <w:color w:val="000000" w:themeColor="text1"/>
                <w:sz w:val="20"/>
                <w:szCs w:val="20"/>
                <w14:textFill>
                  <w14:solidFill>
                    <w14:schemeClr w14:val="tx1"/>
                  </w14:solidFill>
                </w14:textFill>
              </w:rPr>
              <w:t>2017</w:t>
            </w:r>
            <w:r>
              <w:rPr>
                <w:rFonts w:hint="eastAsia" w:ascii="宋体" w:hAnsi="宋体"/>
                <w:color w:val="000000" w:themeColor="text1"/>
                <w:sz w:val="20"/>
                <w:szCs w:val="20"/>
                <w14:textFill>
                  <w14:solidFill>
                    <w14:schemeClr w14:val="tx1"/>
                  </w14:solidFill>
                </w14:textFill>
              </w:rPr>
              <w:t>年政府工作报告中指出，要推进政府建设和治理创新，必须“完善公共决策吸纳民意机制，认真办理人大代表建议和政协委员提案；推进政务公开，省级政府部门权力和责任清单全面公布”。请问，总理的上述报告内容主要体现了行政法的哪一项基本原则？（</w:t>
            </w:r>
            <w:r>
              <w:rPr>
                <w:rFonts w:ascii="宋体" w:hAnsi="宋体"/>
                <w:color w:val="000000" w:themeColor="text1"/>
                <w:sz w:val="20"/>
                <w:szCs w:val="20"/>
                <w14:textFill>
                  <w14:solidFill>
                    <w14:schemeClr w14:val="tx1"/>
                  </w14:solidFill>
                </w14:textFill>
              </w:rPr>
              <w:t xml:space="preserve">   </w:t>
            </w:r>
            <w:r>
              <w:rPr>
                <w:rFonts w:hint="eastAsia" w:ascii="宋体" w:hAnsi="宋体"/>
                <w:color w:val="000000" w:themeColor="text1"/>
                <w:sz w:val="20"/>
                <w:szCs w:val="20"/>
                <w14:textFill>
                  <w14:solidFill>
                    <w14:schemeClr w14:val="tx1"/>
                  </w14:solidFill>
                </w14:textFill>
              </w:rPr>
              <w:t>）</w:t>
            </w:r>
          </w:p>
        </w:tc>
        <w:tc>
          <w:tcPr>
            <w:tcW w:w="4111" w:type="dxa"/>
            <w:gridSpan w:val="2"/>
          </w:tcPr>
          <w:p>
            <w:pPr>
              <w:pStyle w:val="6"/>
              <w:numPr>
                <w:ilvl w:val="0"/>
                <w:numId w:val="19"/>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合法行政</w:t>
            </w:r>
          </w:p>
          <w:p>
            <w:pPr>
              <w:pStyle w:val="6"/>
              <w:numPr>
                <w:ilvl w:val="0"/>
                <w:numId w:val="19"/>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合理行政</w:t>
            </w:r>
          </w:p>
          <w:p>
            <w:pPr>
              <w:pStyle w:val="6"/>
              <w:numPr>
                <w:ilvl w:val="0"/>
                <w:numId w:val="19"/>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程序正当</w:t>
            </w:r>
          </w:p>
          <w:p>
            <w:pPr>
              <w:pStyle w:val="6"/>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ascii="宋体" w:hAnsi="宋体"/>
                <w:color w:val="000000" w:themeColor="text1"/>
                <w:kern w:val="2"/>
                <w:sz w:val="20"/>
                <w:szCs w:val="20"/>
                <w14:textFill>
                  <w14:solidFill>
                    <w14:schemeClr w14:val="tx1"/>
                  </w14:solidFill>
                </w14:textFill>
              </w:rPr>
              <w:t>D.</w:t>
            </w:r>
            <w:r>
              <w:rPr>
                <w:rFonts w:hint="eastAsia" w:ascii="宋体" w:hAnsi="宋体"/>
                <w:color w:val="000000" w:themeColor="text1"/>
                <w:kern w:val="2"/>
                <w:sz w:val="20"/>
                <w:szCs w:val="20"/>
                <w14:textFill>
                  <w14:solidFill>
                    <w14:schemeClr w14:val="tx1"/>
                  </w14:solidFill>
                </w14:textFill>
              </w:rPr>
              <w:t>权责统一</w:t>
            </w:r>
          </w:p>
        </w:tc>
        <w:tc>
          <w:tcPr>
            <w:tcW w:w="1100" w:type="dxa"/>
            <w:gridSpan w:val="2"/>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9" w:type="dxa"/>
            <w:gridSpan w:val="2"/>
          </w:tcPr>
          <w:p>
            <w:pPr>
              <w:snapToGrid w:val="0"/>
              <w:spacing w:line="340" w:lineRule="exact"/>
              <w:rPr>
                <w:rFonts w:ascii="Times New Roman" w:hAnsi="Times New Roman"/>
                <w:color w:val="000000" w:themeColor="text1"/>
                <w:sz w:val="20"/>
                <w:szCs w:val="20"/>
                <w14:textFill>
                  <w14:solidFill>
                    <w14:schemeClr w14:val="tx1"/>
                  </w14:solidFill>
                </w14:textFill>
              </w:rPr>
            </w:pPr>
            <w:r>
              <w:rPr>
                <w:rFonts w:ascii="Times New Roman" w:hAnsi="Times New Roman"/>
                <w:color w:val="000000" w:themeColor="text1"/>
                <w:sz w:val="20"/>
                <w:szCs w:val="20"/>
                <w14:textFill>
                  <w14:solidFill>
                    <w14:schemeClr w14:val="tx1"/>
                  </w14:solidFill>
                </w14:textFill>
              </w:rPr>
              <w:t>李某因涉嫌走私被当地海关处以5万元罚款。李某不服，遂向法院提起行政诉讼。根据《行政诉讼法》，本案应当由（   ）管辖。</w:t>
            </w:r>
          </w:p>
        </w:tc>
        <w:tc>
          <w:tcPr>
            <w:tcW w:w="4111" w:type="dxa"/>
            <w:gridSpan w:val="2"/>
            <w:vAlign w:val="center"/>
          </w:tcPr>
          <w:p>
            <w:pPr>
              <w:pStyle w:val="6"/>
              <w:adjustRightInd w:val="0"/>
              <w:snapToGrid w:val="0"/>
              <w:spacing w:after="0" w:line="360" w:lineRule="exact"/>
              <w:ind w:firstLine="0" w:firstLineChars="0"/>
              <w:rPr>
                <w:rFonts w:ascii="Times New Roman" w:hAnsi="Times New Roman"/>
                <w:color w:val="000000" w:themeColor="text1"/>
                <w:sz w:val="20"/>
                <w14:textFill>
                  <w14:solidFill>
                    <w14:schemeClr w14:val="tx1"/>
                  </w14:solidFill>
                </w14:textFill>
              </w:rPr>
            </w:pPr>
            <w:r>
              <w:rPr>
                <w:rFonts w:ascii="Times New Roman" w:hAnsi="Times New Roman"/>
                <w:color w:val="000000" w:themeColor="text1"/>
                <w:sz w:val="20"/>
                <w14:textFill>
                  <w14:solidFill>
                    <w14:schemeClr w14:val="tx1"/>
                  </w14:solidFill>
                </w14:textFill>
              </w:rPr>
              <w:t>A.海关所在地的基层人民法院</w:t>
            </w:r>
          </w:p>
          <w:p>
            <w:pPr>
              <w:pStyle w:val="6"/>
              <w:adjustRightInd w:val="0"/>
              <w:snapToGrid w:val="0"/>
              <w:spacing w:after="0" w:line="360" w:lineRule="exact"/>
              <w:ind w:firstLine="0" w:firstLineChars="0"/>
              <w:rPr>
                <w:rFonts w:ascii="Times New Roman" w:hAnsi="Times New Roman"/>
                <w:color w:val="000000" w:themeColor="text1"/>
                <w:sz w:val="20"/>
                <w14:textFill>
                  <w14:solidFill>
                    <w14:schemeClr w14:val="tx1"/>
                  </w14:solidFill>
                </w14:textFill>
              </w:rPr>
            </w:pPr>
            <w:r>
              <w:rPr>
                <w:rFonts w:ascii="Times New Roman" w:hAnsi="Times New Roman"/>
                <w:color w:val="000000" w:themeColor="text1"/>
                <w:sz w:val="20"/>
                <w14:textFill>
                  <w14:solidFill>
                    <w14:schemeClr w14:val="tx1"/>
                  </w14:solidFill>
                </w14:textFill>
              </w:rPr>
              <w:t>B.海关所在地的中级人民法院</w:t>
            </w:r>
          </w:p>
          <w:p>
            <w:pPr>
              <w:pStyle w:val="6"/>
              <w:adjustRightInd w:val="0"/>
              <w:snapToGrid w:val="0"/>
              <w:spacing w:after="0" w:line="360" w:lineRule="exact"/>
              <w:ind w:firstLine="0" w:firstLineChars="0"/>
              <w:rPr>
                <w:rFonts w:ascii="Times New Roman" w:hAnsi="Times New Roman"/>
                <w:color w:val="000000" w:themeColor="text1"/>
                <w:sz w:val="20"/>
                <w14:textFill>
                  <w14:solidFill>
                    <w14:schemeClr w14:val="tx1"/>
                  </w14:solidFill>
                </w14:textFill>
              </w:rPr>
            </w:pPr>
            <w:r>
              <w:rPr>
                <w:rFonts w:ascii="Times New Roman" w:hAnsi="Times New Roman"/>
                <w:color w:val="000000" w:themeColor="text1"/>
                <w:sz w:val="20"/>
                <w14:textFill>
                  <w14:solidFill>
                    <w14:schemeClr w14:val="tx1"/>
                  </w14:solidFill>
                </w14:textFill>
              </w:rPr>
              <w:t>C.李某户籍所在地的基层人民法院</w:t>
            </w:r>
          </w:p>
          <w:p>
            <w:pPr>
              <w:spacing w:line="340" w:lineRule="exact"/>
              <w:rPr>
                <w:rFonts w:ascii="Times New Roman" w:hAnsi="Times New Roman"/>
                <w:caps/>
                <w:color w:val="000000" w:themeColor="text1"/>
                <w:sz w:val="20"/>
                <w:szCs w:val="20"/>
                <w14:textFill>
                  <w14:solidFill>
                    <w14:schemeClr w14:val="tx1"/>
                  </w14:solidFill>
                </w14:textFill>
              </w:rPr>
            </w:pPr>
            <w:r>
              <w:rPr>
                <w:rFonts w:ascii="Times New Roman" w:hAnsi="Times New Roman"/>
                <w:color w:val="000000" w:themeColor="text1"/>
                <w:sz w:val="20"/>
                <w:szCs w:val="20"/>
                <w14:textFill>
                  <w14:solidFill>
                    <w14:schemeClr w14:val="tx1"/>
                  </w14:solidFill>
                </w14:textFill>
              </w:rPr>
              <w:t>D.李某户籍所在地的中级人民法院</w:t>
            </w:r>
          </w:p>
        </w:tc>
        <w:tc>
          <w:tcPr>
            <w:tcW w:w="1083" w:type="dxa"/>
            <w:vAlign w:val="center"/>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snapToGrid w:val="0"/>
              <w:spacing w:line="340" w:lineRule="exact"/>
              <w:rPr>
                <w:rFonts w:asci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某公安局民警王某依照《治安管理处罚法》的规定，对殴打公民乙的公民甲处以</w:t>
            </w:r>
            <w:r>
              <w:rPr>
                <w:rFonts w:ascii="宋体" w:hAnsi="宋体"/>
                <w:color w:val="000000" w:themeColor="text1"/>
                <w:sz w:val="20"/>
                <w:szCs w:val="20"/>
                <w14:textFill>
                  <w14:solidFill>
                    <w14:schemeClr w14:val="tx1"/>
                  </w14:solidFill>
                </w14:textFill>
              </w:rPr>
              <w:t>300</w:t>
            </w:r>
            <w:r>
              <w:rPr>
                <w:rFonts w:hint="eastAsia" w:ascii="宋体" w:hAnsi="宋体"/>
                <w:color w:val="000000" w:themeColor="text1"/>
                <w:sz w:val="20"/>
                <w:szCs w:val="20"/>
                <w14:textFill>
                  <w14:solidFill>
                    <w14:schemeClr w14:val="tx1"/>
                  </w14:solidFill>
                </w14:textFill>
              </w:rPr>
              <w:t>元罚款。在本案中，不属于行政法律关系主体的是（</w:t>
            </w:r>
            <w:r>
              <w:rPr>
                <w:rFonts w:ascii="宋体" w:hAnsi="宋体"/>
                <w:color w:val="000000" w:themeColor="text1"/>
                <w:sz w:val="20"/>
                <w:szCs w:val="20"/>
                <w14:textFill>
                  <w14:solidFill>
                    <w14:schemeClr w14:val="tx1"/>
                  </w14:solidFill>
                </w14:textFill>
              </w:rPr>
              <w:t xml:space="preserve">   </w:t>
            </w:r>
            <w:r>
              <w:rPr>
                <w:rFonts w:hint="eastAsia" w:ascii="宋体" w:hAnsi="宋体"/>
                <w:color w:val="000000" w:themeColor="text1"/>
                <w:sz w:val="20"/>
                <w:szCs w:val="20"/>
                <w14:textFill>
                  <w14:solidFill>
                    <w14:schemeClr w14:val="tx1"/>
                  </w14:solidFill>
                </w14:textFill>
              </w:rPr>
              <w:t>）。</w:t>
            </w:r>
          </w:p>
        </w:tc>
        <w:tc>
          <w:tcPr>
            <w:tcW w:w="4111" w:type="dxa"/>
            <w:gridSpan w:val="2"/>
          </w:tcPr>
          <w:p>
            <w:pPr>
              <w:pStyle w:val="6"/>
              <w:numPr>
                <w:ilvl w:val="0"/>
                <w:numId w:val="20"/>
              </w:numPr>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公安局</w:t>
            </w:r>
          </w:p>
          <w:p>
            <w:pPr>
              <w:pStyle w:val="6"/>
              <w:numPr>
                <w:ilvl w:val="0"/>
                <w:numId w:val="20"/>
              </w:numPr>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王某</w:t>
            </w:r>
          </w:p>
          <w:p>
            <w:pPr>
              <w:pStyle w:val="6"/>
              <w:numPr>
                <w:ilvl w:val="0"/>
                <w:numId w:val="20"/>
              </w:numPr>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甲</w:t>
            </w:r>
          </w:p>
          <w:p>
            <w:pPr>
              <w:pStyle w:val="6"/>
              <w:numPr>
                <w:ilvl w:val="0"/>
                <w:numId w:val="20"/>
              </w:numPr>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乙</w:t>
            </w:r>
          </w:p>
        </w:tc>
        <w:tc>
          <w:tcPr>
            <w:tcW w:w="1100" w:type="dxa"/>
            <w:gridSpan w:val="2"/>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某公司申请在某住宅小区附近开办一家通宵营业的歌舞厅。工商局经审查发现，该歌舞厅可能会影响小区居民夜间的休息。根据《行政许可法》的规定，下列说法错误的是（</w:t>
            </w:r>
            <w:r>
              <w:rPr>
                <w:rFonts w:ascii="宋体" w:hAnsi="宋体"/>
                <w:caps/>
                <w:color w:val="000000" w:themeColor="text1"/>
                <w:kern w:val="2"/>
                <w:sz w:val="20"/>
                <w:szCs w:val="20"/>
                <w14:textFill>
                  <w14:solidFill>
                    <w14:schemeClr w14:val="tx1"/>
                  </w14:solidFill>
                </w14:textFill>
              </w:rPr>
              <w:t xml:space="preserve">   </w:t>
            </w:r>
            <w:r>
              <w:rPr>
                <w:rFonts w:hint="eastAsia" w:ascii="宋体" w:hAnsi="宋体"/>
                <w:caps/>
                <w:color w:val="000000" w:themeColor="text1"/>
                <w:kern w:val="2"/>
                <w:sz w:val="20"/>
                <w:szCs w:val="20"/>
                <w14:textFill>
                  <w14:solidFill>
                    <w14:schemeClr w14:val="tx1"/>
                  </w14:solidFill>
                </w14:textFill>
              </w:rPr>
              <w:t>）。</w:t>
            </w:r>
          </w:p>
        </w:tc>
        <w:tc>
          <w:tcPr>
            <w:tcW w:w="4111" w:type="dxa"/>
            <w:gridSpan w:val="2"/>
          </w:tcPr>
          <w:p>
            <w:pPr>
              <w:pStyle w:val="6"/>
              <w:numPr>
                <w:ilvl w:val="0"/>
                <w:numId w:val="21"/>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工商局应当告知小区居民，居民有陈述意见的权利</w:t>
            </w:r>
          </w:p>
          <w:p>
            <w:pPr>
              <w:pStyle w:val="6"/>
              <w:numPr>
                <w:ilvl w:val="0"/>
                <w:numId w:val="21"/>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该公司和小区居民都有权申请听证</w:t>
            </w:r>
          </w:p>
          <w:p>
            <w:pPr>
              <w:pStyle w:val="6"/>
              <w:numPr>
                <w:ilvl w:val="0"/>
                <w:numId w:val="21"/>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如果小区居民申请听证，工商局应当在</w:t>
            </w:r>
            <w:r>
              <w:rPr>
                <w:rFonts w:ascii="宋体" w:hAnsi="宋体"/>
                <w:color w:val="000000" w:themeColor="text1"/>
                <w:kern w:val="2"/>
                <w:sz w:val="20"/>
                <w:szCs w:val="20"/>
                <w14:textFill>
                  <w14:solidFill>
                    <w14:schemeClr w14:val="tx1"/>
                  </w14:solidFill>
                </w14:textFill>
              </w:rPr>
              <w:t>20</w:t>
            </w:r>
            <w:r>
              <w:rPr>
                <w:rFonts w:hint="eastAsia" w:ascii="宋体" w:hAnsi="宋体"/>
                <w:color w:val="000000" w:themeColor="text1"/>
                <w:kern w:val="2"/>
                <w:sz w:val="20"/>
                <w:szCs w:val="20"/>
                <w14:textFill>
                  <w14:solidFill>
                    <w14:schemeClr w14:val="tx1"/>
                  </w14:solidFill>
                </w14:textFill>
              </w:rPr>
              <w:t>日内组织听证</w:t>
            </w:r>
          </w:p>
          <w:p>
            <w:pPr>
              <w:pStyle w:val="6"/>
              <w:numPr>
                <w:ilvl w:val="0"/>
                <w:numId w:val="21"/>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工商局在举行听证后，可以要求居民缴纳组织听证的费用</w:t>
            </w:r>
          </w:p>
        </w:tc>
        <w:tc>
          <w:tcPr>
            <w:tcW w:w="1100" w:type="dxa"/>
            <w:gridSpan w:val="2"/>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snapToGrid w:val="0"/>
              <w:spacing w:line="340" w:lineRule="exact"/>
              <w:rPr>
                <w:rFonts w:asci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某国政府计划在某海湾建立核电站，经过多方论证，认为核辐射可能会污染海水，对当地居民生活造成不良影响，遂取消建设计划，改用成本较低的风力发电。请问，政府的行为主要体现了行政法的哪一项基本原则？（</w:t>
            </w:r>
            <w:r>
              <w:rPr>
                <w:rFonts w:ascii="宋体" w:hAnsi="宋体"/>
                <w:color w:val="000000" w:themeColor="text1"/>
                <w:sz w:val="20"/>
                <w:szCs w:val="20"/>
                <w14:textFill>
                  <w14:solidFill>
                    <w14:schemeClr w14:val="tx1"/>
                  </w14:solidFill>
                </w14:textFill>
              </w:rPr>
              <w:t xml:space="preserve">   </w:t>
            </w:r>
            <w:r>
              <w:rPr>
                <w:rFonts w:hint="eastAsia" w:ascii="宋体" w:hAnsi="宋体"/>
                <w:color w:val="000000" w:themeColor="text1"/>
                <w:sz w:val="20"/>
                <w:szCs w:val="20"/>
                <w14:textFill>
                  <w14:solidFill>
                    <w14:schemeClr w14:val="tx1"/>
                  </w14:solidFill>
                </w14:textFill>
              </w:rPr>
              <w:t>）</w:t>
            </w:r>
          </w:p>
        </w:tc>
        <w:tc>
          <w:tcPr>
            <w:tcW w:w="4111" w:type="dxa"/>
            <w:gridSpan w:val="2"/>
          </w:tcPr>
          <w:p>
            <w:pPr>
              <w:pStyle w:val="6"/>
              <w:numPr>
                <w:ilvl w:val="0"/>
                <w:numId w:val="22"/>
              </w:numPr>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越权无效</w:t>
            </w:r>
          </w:p>
          <w:p>
            <w:pPr>
              <w:pStyle w:val="6"/>
              <w:numPr>
                <w:ilvl w:val="0"/>
                <w:numId w:val="22"/>
              </w:numPr>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合理行政</w:t>
            </w:r>
          </w:p>
          <w:p>
            <w:pPr>
              <w:pStyle w:val="6"/>
              <w:numPr>
                <w:ilvl w:val="0"/>
                <w:numId w:val="22"/>
              </w:numPr>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高效便民</w:t>
            </w:r>
          </w:p>
          <w:p>
            <w:pPr>
              <w:pStyle w:val="6"/>
              <w:numPr>
                <w:ilvl w:val="0"/>
                <w:numId w:val="22"/>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诚实守信</w:t>
            </w:r>
          </w:p>
        </w:tc>
        <w:tc>
          <w:tcPr>
            <w:tcW w:w="1100" w:type="dxa"/>
            <w:gridSpan w:val="2"/>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9" w:type="dxa"/>
            <w:gridSpan w:val="2"/>
          </w:tcPr>
          <w:p>
            <w:pPr>
              <w:snapToGrid w:val="0"/>
              <w:spacing w:line="340" w:lineRule="exact"/>
              <w:rPr>
                <w:rFonts w:ascii="Times New Roman" w:hAnsi="Times New Roman"/>
                <w:color w:val="000000" w:themeColor="text1"/>
                <w:sz w:val="20"/>
                <w:szCs w:val="20"/>
                <w14:textFill>
                  <w14:solidFill>
                    <w14:schemeClr w14:val="tx1"/>
                  </w14:solidFill>
                </w14:textFill>
              </w:rPr>
            </w:pPr>
            <w:r>
              <w:rPr>
                <w:rFonts w:ascii="Times New Roman" w:hAnsi="Times New Roman"/>
                <w:color w:val="000000" w:themeColor="text1"/>
                <w:sz w:val="20"/>
                <w:szCs w:val="20"/>
                <w14:textFill>
                  <w14:solidFill>
                    <w14:schemeClr w14:val="tx1"/>
                  </w14:solidFill>
                </w14:textFill>
              </w:rPr>
              <w:t>某区市场监管局在给东源公司颁发企业营业执照后发现，该公司负责人在办理登记过程中有提供虚假材料的情况，东源公司实际并不符合获得许可的条件。对此，区市场监管局应当依法（   ）已颁发的企业营业执照。</w:t>
            </w:r>
          </w:p>
        </w:tc>
        <w:tc>
          <w:tcPr>
            <w:tcW w:w="4111" w:type="dxa"/>
            <w:gridSpan w:val="2"/>
            <w:vAlign w:val="center"/>
          </w:tcPr>
          <w:p>
            <w:pPr>
              <w:pStyle w:val="6"/>
              <w:adjustRightInd w:val="0"/>
              <w:snapToGrid w:val="0"/>
              <w:spacing w:after="0" w:line="360" w:lineRule="exact"/>
              <w:ind w:firstLine="0" w:firstLineChars="0"/>
              <w:rPr>
                <w:rFonts w:ascii="Times New Roman" w:hAnsi="Times New Roman"/>
                <w:color w:val="000000" w:themeColor="text1"/>
                <w:sz w:val="20"/>
                <w14:textFill>
                  <w14:solidFill>
                    <w14:schemeClr w14:val="tx1"/>
                  </w14:solidFill>
                </w14:textFill>
              </w:rPr>
            </w:pPr>
            <w:r>
              <w:rPr>
                <w:rFonts w:ascii="Times New Roman" w:hAnsi="Times New Roman"/>
                <w:color w:val="000000" w:themeColor="text1"/>
                <w:sz w:val="20"/>
                <w14:textFill>
                  <w14:solidFill>
                    <w14:schemeClr w14:val="tx1"/>
                  </w14:solidFill>
                </w14:textFill>
              </w:rPr>
              <w:t>A.撤销</w:t>
            </w:r>
          </w:p>
          <w:p>
            <w:pPr>
              <w:pStyle w:val="6"/>
              <w:adjustRightInd w:val="0"/>
              <w:snapToGrid w:val="0"/>
              <w:spacing w:after="0" w:line="360" w:lineRule="exact"/>
              <w:ind w:firstLine="0" w:firstLineChars="0"/>
              <w:rPr>
                <w:rFonts w:ascii="Times New Roman" w:hAnsi="Times New Roman"/>
                <w:color w:val="000000" w:themeColor="text1"/>
                <w:sz w:val="20"/>
                <w14:textFill>
                  <w14:solidFill>
                    <w14:schemeClr w14:val="tx1"/>
                  </w14:solidFill>
                </w14:textFill>
              </w:rPr>
            </w:pPr>
            <w:r>
              <w:rPr>
                <w:rFonts w:ascii="Times New Roman" w:hAnsi="Times New Roman"/>
                <w:color w:val="000000" w:themeColor="text1"/>
                <w:sz w:val="20"/>
                <w14:textFill>
                  <w14:solidFill>
                    <w14:schemeClr w14:val="tx1"/>
                  </w14:solidFill>
                </w14:textFill>
              </w:rPr>
              <w:t>B.撤回</w:t>
            </w:r>
          </w:p>
          <w:p>
            <w:pPr>
              <w:pStyle w:val="6"/>
              <w:adjustRightInd w:val="0"/>
              <w:snapToGrid w:val="0"/>
              <w:spacing w:after="0" w:line="360" w:lineRule="exact"/>
              <w:ind w:firstLine="0" w:firstLineChars="0"/>
              <w:rPr>
                <w:rFonts w:ascii="Times New Roman" w:hAnsi="Times New Roman"/>
                <w:color w:val="000000" w:themeColor="text1"/>
                <w:sz w:val="20"/>
                <w14:textFill>
                  <w14:solidFill>
                    <w14:schemeClr w14:val="tx1"/>
                  </w14:solidFill>
                </w14:textFill>
              </w:rPr>
            </w:pPr>
            <w:r>
              <w:rPr>
                <w:rFonts w:ascii="Times New Roman" w:hAnsi="Times New Roman"/>
                <w:color w:val="000000" w:themeColor="text1"/>
                <w:sz w:val="20"/>
                <w14:textFill>
                  <w14:solidFill>
                    <w14:schemeClr w14:val="tx1"/>
                  </w14:solidFill>
                </w14:textFill>
              </w:rPr>
              <w:t>C.吊销</w:t>
            </w:r>
          </w:p>
          <w:p>
            <w:pPr>
              <w:spacing w:line="340" w:lineRule="exact"/>
              <w:rPr>
                <w:rFonts w:ascii="Times New Roman" w:hAnsi="Times New Roman"/>
                <w:caps/>
                <w:color w:val="000000" w:themeColor="text1"/>
                <w:sz w:val="20"/>
                <w:szCs w:val="20"/>
                <w14:textFill>
                  <w14:solidFill>
                    <w14:schemeClr w14:val="tx1"/>
                  </w14:solidFill>
                </w14:textFill>
              </w:rPr>
            </w:pPr>
            <w:r>
              <w:rPr>
                <w:rFonts w:ascii="Times New Roman" w:hAnsi="Times New Roman"/>
                <w:color w:val="000000" w:themeColor="text1"/>
                <w:sz w:val="20"/>
                <w:szCs w:val="20"/>
                <w14:textFill>
                  <w14:solidFill>
                    <w14:schemeClr w14:val="tx1"/>
                  </w14:solidFill>
                </w14:textFill>
              </w:rPr>
              <w:t>D.没收</w:t>
            </w:r>
          </w:p>
        </w:tc>
        <w:tc>
          <w:tcPr>
            <w:tcW w:w="1083" w:type="dxa"/>
            <w:vAlign w:val="center"/>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rPr>
                <w:rFonts w:asci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某县公安局对该县百货公司作出罚款</w:t>
            </w:r>
            <w:r>
              <w:rPr>
                <w:rFonts w:ascii="宋体" w:hAnsi="宋体"/>
                <w:color w:val="000000" w:themeColor="text1"/>
                <w:sz w:val="20"/>
                <w:szCs w:val="20"/>
                <w14:textFill>
                  <w14:solidFill>
                    <w14:schemeClr w14:val="tx1"/>
                  </w14:solidFill>
                </w14:textFill>
              </w:rPr>
              <w:t>5</w:t>
            </w:r>
            <w:r>
              <w:rPr>
                <w:rFonts w:hint="eastAsia" w:ascii="宋体" w:hAnsi="宋体"/>
                <w:color w:val="000000" w:themeColor="text1"/>
                <w:sz w:val="20"/>
                <w:szCs w:val="20"/>
                <w14:textFill>
                  <w14:solidFill>
                    <w14:schemeClr w14:val="tx1"/>
                  </w14:solidFill>
                </w14:textFill>
              </w:rPr>
              <w:t>万元的行政处罚。百货公司不服，向县政府申请行政复议，县政府经复议后决定将</w:t>
            </w:r>
            <w:r>
              <w:rPr>
                <w:rFonts w:ascii="宋体" w:hAnsi="宋体"/>
                <w:color w:val="000000" w:themeColor="text1"/>
                <w:sz w:val="20"/>
                <w:szCs w:val="20"/>
                <w14:textFill>
                  <w14:solidFill>
                    <w14:schemeClr w14:val="tx1"/>
                  </w14:solidFill>
                </w14:textFill>
              </w:rPr>
              <w:t>5</w:t>
            </w:r>
            <w:r>
              <w:rPr>
                <w:rFonts w:hint="eastAsia" w:ascii="宋体" w:hAnsi="宋体"/>
                <w:color w:val="000000" w:themeColor="text1"/>
                <w:sz w:val="20"/>
                <w:szCs w:val="20"/>
                <w14:textFill>
                  <w14:solidFill>
                    <w14:schemeClr w14:val="tx1"/>
                  </w14:solidFill>
                </w14:textFill>
              </w:rPr>
              <w:t>万元罚款改为</w:t>
            </w:r>
            <w:r>
              <w:rPr>
                <w:rFonts w:ascii="宋体" w:hAnsi="宋体"/>
                <w:color w:val="000000" w:themeColor="text1"/>
                <w:sz w:val="20"/>
                <w:szCs w:val="20"/>
                <w14:textFill>
                  <w14:solidFill>
                    <w14:schemeClr w14:val="tx1"/>
                  </w14:solidFill>
                </w14:textFill>
              </w:rPr>
              <w:t>3</w:t>
            </w:r>
            <w:r>
              <w:rPr>
                <w:rFonts w:hint="eastAsia" w:ascii="宋体" w:hAnsi="宋体"/>
                <w:color w:val="000000" w:themeColor="text1"/>
                <w:sz w:val="20"/>
                <w:szCs w:val="20"/>
                <w14:textFill>
                  <w14:solidFill>
                    <w14:schemeClr w14:val="tx1"/>
                  </w14:solidFill>
                </w14:textFill>
              </w:rPr>
              <w:t>万元。对此，百货公司仍不服，准备起诉。根据《行政诉讼法》，百货公司应当以（</w:t>
            </w:r>
            <w:r>
              <w:rPr>
                <w:rFonts w:ascii="宋体" w:hAnsi="宋体"/>
                <w:color w:val="000000" w:themeColor="text1"/>
                <w:sz w:val="20"/>
                <w:szCs w:val="20"/>
                <w14:textFill>
                  <w14:solidFill>
                    <w14:schemeClr w14:val="tx1"/>
                  </w14:solidFill>
                </w14:textFill>
              </w:rPr>
              <w:t xml:space="preserve">   </w:t>
            </w:r>
            <w:r>
              <w:rPr>
                <w:rFonts w:hint="eastAsia" w:ascii="宋体" w:hAnsi="宋体"/>
                <w:color w:val="000000" w:themeColor="text1"/>
                <w:sz w:val="20"/>
                <w:szCs w:val="20"/>
                <w14:textFill>
                  <w14:solidFill>
                    <w14:schemeClr w14:val="tx1"/>
                  </w14:solidFill>
                </w14:textFill>
              </w:rPr>
              <w:t>）为被告提起行政诉讼。</w:t>
            </w:r>
          </w:p>
          <w:p>
            <w:pPr>
              <w:pStyle w:val="6"/>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p>
        </w:tc>
        <w:tc>
          <w:tcPr>
            <w:tcW w:w="4111" w:type="dxa"/>
            <w:gridSpan w:val="2"/>
          </w:tcPr>
          <w:p>
            <w:pPr>
              <w:pStyle w:val="6"/>
              <w:numPr>
                <w:ilvl w:val="0"/>
                <w:numId w:val="23"/>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县公安局</w:t>
            </w:r>
          </w:p>
          <w:p>
            <w:pPr>
              <w:pStyle w:val="6"/>
              <w:numPr>
                <w:ilvl w:val="0"/>
                <w:numId w:val="23"/>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县政府</w:t>
            </w:r>
          </w:p>
          <w:p>
            <w:pPr>
              <w:pStyle w:val="6"/>
              <w:numPr>
                <w:ilvl w:val="0"/>
                <w:numId w:val="23"/>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县公安局或县政府</w:t>
            </w:r>
          </w:p>
          <w:p>
            <w:pPr>
              <w:pStyle w:val="6"/>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ascii="宋体" w:hAnsi="宋体"/>
                <w:color w:val="000000" w:themeColor="text1"/>
                <w:kern w:val="2"/>
                <w:sz w:val="20"/>
                <w:szCs w:val="20"/>
                <w14:textFill>
                  <w14:solidFill>
                    <w14:schemeClr w14:val="tx1"/>
                  </w14:solidFill>
                </w14:textFill>
              </w:rPr>
              <w:t>D.</w:t>
            </w:r>
            <w:r>
              <w:rPr>
                <w:rFonts w:hint="eastAsia" w:ascii="宋体" w:hAnsi="宋体"/>
                <w:color w:val="000000" w:themeColor="text1"/>
                <w:kern w:val="2"/>
                <w:sz w:val="20"/>
                <w:szCs w:val="20"/>
                <w14:textFill>
                  <w14:solidFill>
                    <w14:schemeClr w14:val="tx1"/>
                  </w14:solidFill>
                </w14:textFill>
              </w:rPr>
              <w:t>县公安局和县政府</w:t>
            </w:r>
          </w:p>
        </w:tc>
        <w:tc>
          <w:tcPr>
            <w:tcW w:w="1100" w:type="dxa"/>
            <w:gridSpan w:val="2"/>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spacing w:after="31" w:afterLines="10" w:line="288" w:lineRule="auto"/>
              <w:rPr>
                <w:rFonts w:ascii="楷体_GB2312" w:hAnsi="楷体" w:eastAsia="楷体_GB2312"/>
                <w:color w:val="000000" w:themeColor="text1"/>
                <w:sz w:val="24"/>
                <w14:textFill>
                  <w14:solidFill>
                    <w14:schemeClr w14:val="tx1"/>
                  </w14:solidFill>
                </w14:textFill>
              </w:rPr>
            </w:pPr>
            <w:r>
              <w:rPr>
                <w:rFonts w:hint="eastAsia" w:ascii="宋体" w:hAnsi="宋体"/>
                <w:caps/>
                <w:color w:val="000000" w:themeColor="text1"/>
                <w:sz w:val="20"/>
                <w:szCs w:val="20"/>
                <w14:textFill>
                  <w14:solidFill>
                    <w14:schemeClr w14:val="tx1"/>
                  </w14:solidFill>
                </w14:textFill>
              </w:rPr>
              <w:t>权责统一是社会主义法治理念的要求，也是行政法的基本原则。下列哪些做法是权责统一原则的直接体现？（</w:t>
            </w:r>
            <w:r>
              <w:rPr>
                <w:rFonts w:ascii="宋体" w:hAnsi="宋体"/>
                <w:caps/>
                <w:color w:val="000000" w:themeColor="text1"/>
                <w:sz w:val="20"/>
                <w:szCs w:val="20"/>
                <w14:textFill>
                  <w14:solidFill>
                    <w14:schemeClr w14:val="tx1"/>
                  </w14:solidFill>
                </w14:textFill>
              </w:rPr>
              <w:t xml:space="preserve">   </w:t>
            </w:r>
            <w:r>
              <w:rPr>
                <w:rFonts w:hint="eastAsia" w:ascii="宋体" w:hAnsi="宋体"/>
                <w:caps/>
                <w:color w:val="000000" w:themeColor="text1"/>
                <w:sz w:val="20"/>
                <w:szCs w:val="20"/>
                <w14:textFill>
                  <w14:solidFill>
                    <w14:schemeClr w14:val="tx1"/>
                  </w14:solidFill>
                </w14:textFill>
              </w:rPr>
              <w:t>）</w:t>
            </w:r>
          </w:p>
        </w:tc>
        <w:tc>
          <w:tcPr>
            <w:tcW w:w="4111" w:type="dxa"/>
            <w:gridSpan w:val="2"/>
          </w:tcPr>
          <w:p>
            <w:pPr>
              <w:pStyle w:val="6"/>
              <w:numPr>
                <w:ilvl w:val="0"/>
                <w:numId w:val="24"/>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某国土资源局局长因违规征地受到行政处分</w:t>
            </w:r>
          </w:p>
          <w:p>
            <w:pPr>
              <w:pStyle w:val="6"/>
              <w:numPr>
                <w:ilvl w:val="0"/>
                <w:numId w:val="24"/>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某环保局在作出行政处罚决定前，告知相对人有权申请听证</w:t>
            </w:r>
          </w:p>
          <w:p>
            <w:pPr>
              <w:pStyle w:val="6"/>
              <w:numPr>
                <w:ilvl w:val="0"/>
                <w:numId w:val="24"/>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某县政府定期向公众公开本县公款接待费用情况</w:t>
            </w:r>
          </w:p>
          <w:p>
            <w:pPr>
              <w:pStyle w:val="6"/>
              <w:numPr>
                <w:ilvl w:val="0"/>
                <w:numId w:val="24"/>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某市工商局简化工商营业执照的办理流程</w:t>
            </w:r>
          </w:p>
        </w:tc>
        <w:tc>
          <w:tcPr>
            <w:tcW w:w="1100" w:type="dxa"/>
            <w:gridSpan w:val="2"/>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9" w:type="dxa"/>
            <w:gridSpan w:val="2"/>
          </w:tcPr>
          <w:p>
            <w:pPr>
              <w:snapToGrid w:val="0"/>
              <w:spacing w:line="340" w:lineRule="exact"/>
              <w:rPr>
                <w:rFonts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王某经过考试成为某县市场监管局新录用的公务员，但一年后试用期满考核被评定为不合格。根据《公务员法》，对于王某，县市场监管局应当（   ）。</w:t>
            </w:r>
          </w:p>
        </w:tc>
        <w:tc>
          <w:tcPr>
            <w:tcW w:w="4111" w:type="dxa"/>
            <w:gridSpan w:val="2"/>
          </w:tcPr>
          <w:p>
            <w:pPr>
              <w:pStyle w:val="6"/>
              <w:numPr>
                <w:ilvl w:val="0"/>
                <w:numId w:val="25"/>
              </w:numPr>
              <w:adjustRightInd w:val="0"/>
              <w:snapToGrid w:val="0"/>
              <w:spacing w:after="0" w:line="360" w:lineRule="exact"/>
              <w:ind w:firstLine="0" w:firstLineChars="0"/>
              <w:rPr>
                <w:rFonts w:ascii="宋体" w:hAns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取消录用</w:t>
            </w:r>
          </w:p>
          <w:p>
            <w:pPr>
              <w:pStyle w:val="6"/>
              <w:numPr>
                <w:ilvl w:val="0"/>
                <w:numId w:val="25"/>
              </w:numPr>
              <w:adjustRightInd w:val="0"/>
              <w:snapToGrid w:val="0"/>
              <w:spacing w:after="0" w:line="360" w:lineRule="exact"/>
              <w:ind w:firstLine="0" w:firstLineChars="0"/>
              <w:rPr>
                <w:rFonts w:ascii="宋体" w:hAns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予以辞退</w:t>
            </w:r>
          </w:p>
          <w:p>
            <w:pPr>
              <w:pStyle w:val="6"/>
              <w:numPr>
                <w:ilvl w:val="0"/>
                <w:numId w:val="25"/>
              </w:numPr>
              <w:adjustRightInd w:val="0"/>
              <w:snapToGrid w:val="0"/>
              <w:spacing w:after="0" w:line="360" w:lineRule="exact"/>
              <w:ind w:firstLine="0" w:firstLineChars="0"/>
              <w:rPr>
                <w:rFonts w:ascii="宋体" w:hAns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决定撤职</w:t>
            </w:r>
          </w:p>
          <w:p>
            <w:pPr>
              <w:pStyle w:val="6"/>
              <w:numPr>
                <w:ilvl w:val="0"/>
                <w:numId w:val="25"/>
              </w:numPr>
              <w:adjustRightInd w:val="0"/>
              <w:snapToGrid w:val="0"/>
              <w:spacing w:after="0" w:line="360" w:lineRule="exact"/>
              <w:ind w:firstLine="0" w:firstLineChars="0"/>
              <w:rPr>
                <w:rFonts w:ascii="宋体" w:hAns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决定开除</w:t>
            </w:r>
          </w:p>
        </w:tc>
        <w:tc>
          <w:tcPr>
            <w:tcW w:w="1083" w:type="dxa"/>
            <w:vAlign w:val="center"/>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hint="eastAsia" w:asciiTheme="minorEastAsia" w:hAnsiTheme="minorEastAsia" w:eastAsiaTheme="minorEastAsia"/>
                <w:caps/>
                <w:color w:val="000000" w:themeColor="text1"/>
                <w:sz w:val="20"/>
                <w:szCs w:val="20"/>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9" w:type="dxa"/>
            <w:gridSpan w:val="2"/>
          </w:tcPr>
          <w:p>
            <w:pPr>
              <w:snapToGrid w:val="0"/>
              <w:spacing w:line="340" w:lineRule="exact"/>
              <w:rPr>
                <w:rFonts w:ascii="Arial" w:hAnsi="Arial" w:cs="Arial"/>
                <w:color w:val="000000" w:themeColor="text1"/>
                <w:szCs w:val="21"/>
                <w:shd w:val="clear" w:color="auto" w:fill="FFFFFF"/>
                <w14:textFill>
                  <w14:solidFill>
                    <w14:schemeClr w14:val="tx1"/>
                  </w14:solidFill>
                </w14:textFill>
              </w:rPr>
            </w:pPr>
            <w:r>
              <w:rPr>
                <w:rFonts w:hint="eastAsia" w:ascii="宋体" w:hAnsi="宋体"/>
                <w:color w:val="000000" w:themeColor="text1"/>
                <w:sz w:val="20"/>
                <w:szCs w:val="20"/>
                <w14:textFill>
                  <w14:solidFill>
                    <w14:schemeClr w14:val="tx1"/>
                  </w14:solidFill>
                </w14:textFill>
              </w:rPr>
              <w:t>为提高基层行政管理效率，市烟草专卖局决定委托有关组织，负责实施区、县一级的烟草专卖零售许可事项。根据《行政许可法》，下列说法错误的是（   ）。</w:t>
            </w:r>
          </w:p>
        </w:tc>
        <w:tc>
          <w:tcPr>
            <w:tcW w:w="4111" w:type="dxa"/>
            <w:gridSpan w:val="2"/>
          </w:tcPr>
          <w:p>
            <w:pPr>
              <w:pStyle w:val="6"/>
              <w:numPr>
                <w:ilvl w:val="0"/>
                <w:numId w:val="26"/>
              </w:numPr>
              <w:adjustRightInd w:val="0"/>
              <w:snapToGrid w:val="0"/>
              <w:spacing w:after="0" w:line="360" w:lineRule="exact"/>
              <w:ind w:firstLine="0" w:firstLineChars="0"/>
              <w:rPr>
                <w:rFonts w:ascii="宋体" w:hAns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市烟草专卖局可以委托符合条件的行政机关或事业单位实施该许可</w:t>
            </w:r>
          </w:p>
          <w:p>
            <w:pPr>
              <w:pStyle w:val="6"/>
              <w:numPr>
                <w:ilvl w:val="0"/>
                <w:numId w:val="26"/>
              </w:numPr>
              <w:adjustRightInd w:val="0"/>
              <w:snapToGrid w:val="0"/>
              <w:spacing w:after="0" w:line="360" w:lineRule="exact"/>
              <w:ind w:firstLine="0" w:firstLineChars="0"/>
              <w:rPr>
                <w:rFonts w:ascii="宋体" w:hAns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市烟草专卖局应当对</w:t>
            </w:r>
            <w:bookmarkStart w:id="0" w:name="_Hlk534034595"/>
            <w:r>
              <w:rPr>
                <w:rFonts w:hint="eastAsia" w:ascii="宋体" w:hAnsi="宋体"/>
                <w:color w:val="000000" w:themeColor="text1"/>
                <w:sz w:val="20"/>
                <w14:textFill>
                  <w14:solidFill>
                    <w14:schemeClr w14:val="tx1"/>
                  </w14:solidFill>
                </w14:textFill>
              </w:rPr>
              <w:t>被委托组织</w:t>
            </w:r>
            <w:bookmarkEnd w:id="0"/>
            <w:r>
              <w:rPr>
                <w:rFonts w:hint="eastAsia" w:ascii="宋体" w:hAnsi="宋体"/>
                <w:color w:val="000000" w:themeColor="text1"/>
                <w:sz w:val="20"/>
                <w14:textFill>
                  <w14:solidFill>
                    <w14:schemeClr w14:val="tx1"/>
                  </w14:solidFill>
                </w14:textFill>
              </w:rPr>
              <w:t>实施许可行为的后果承担法律责任</w:t>
            </w:r>
          </w:p>
          <w:p>
            <w:pPr>
              <w:pStyle w:val="6"/>
              <w:numPr>
                <w:ilvl w:val="0"/>
                <w:numId w:val="26"/>
              </w:numPr>
              <w:adjustRightInd w:val="0"/>
              <w:snapToGrid w:val="0"/>
              <w:spacing w:after="0" w:line="360" w:lineRule="exact"/>
              <w:ind w:firstLine="0" w:firstLineChars="0"/>
              <w:rPr>
                <w:rFonts w:ascii="宋体" w:hAns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被委托组织应当以市烟草专卖局的名义颁发烟草专卖零售许可证</w:t>
            </w:r>
          </w:p>
          <w:p>
            <w:pPr>
              <w:pStyle w:val="6"/>
              <w:numPr>
                <w:ilvl w:val="0"/>
                <w:numId w:val="26"/>
              </w:numPr>
              <w:adjustRightInd w:val="0"/>
              <w:snapToGrid w:val="0"/>
              <w:spacing w:after="0" w:line="360" w:lineRule="exact"/>
              <w:ind w:firstLine="0" w:firstLineChars="0"/>
              <w:rPr>
                <w:rFonts w:ascii="宋体" w:hAns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市烟草专卖局委托其他组织实施行政许可，应当以法律、法规、规章为依据</w:t>
            </w:r>
          </w:p>
        </w:tc>
        <w:tc>
          <w:tcPr>
            <w:tcW w:w="1083" w:type="dxa"/>
            <w:vAlign w:val="center"/>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hint="eastAsia" w:asciiTheme="minorEastAsia" w:hAnsiTheme="minorEastAsia" w:eastAsiaTheme="minorEastAsia"/>
                <w:caps/>
                <w:color w:val="000000" w:themeColor="text1"/>
                <w:sz w:val="20"/>
                <w:szCs w:val="20"/>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9" w:type="dxa"/>
            <w:gridSpan w:val="2"/>
          </w:tcPr>
          <w:p>
            <w:pPr>
              <w:snapToGrid w:val="0"/>
              <w:spacing w:line="340" w:lineRule="exact"/>
              <w:rPr>
                <w:rFonts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下列案件中，不属于行政诉讼受案范围的是（   ）。</w:t>
            </w:r>
          </w:p>
        </w:tc>
        <w:tc>
          <w:tcPr>
            <w:tcW w:w="4111" w:type="dxa"/>
            <w:gridSpan w:val="2"/>
          </w:tcPr>
          <w:p>
            <w:pPr>
              <w:pStyle w:val="6"/>
              <w:numPr>
                <w:ilvl w:val="0"/>
                <w:numId w:val="27"/>
              </w:numPr>
              <w:adjustRightInd w:val="0"/>
              <w:snapToGrid w:val="0"/>
              <w:spacing w:after="0" w:line="360" w:lineRule="exact"/>
              <w:ind w:firstLine="0" w:firstLineChars="0"/>
              <w:rPr>
                <w:rFonts w:ascii="宋体" w:hAns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某造纸厂向水利局申请发放取水许可证，水利局作出不予许可决定，该厂不服而起诉</w:t>
            </w:r>
          </w:p>
          <w:p>
            <w:pPr>
              <w:pStyle w:val="6"/>
              <w:numPr>
                <w:ilvl w:val="0"/>
                <w:numId w:val="27"/>
              </w:numPr>
              <w:adjustRightInd w:val="0"/>
              <w:snapToGrid w:val="0"/>
              <w:spacing w:after="0" w:line="360" w:lineRule="exact"/>
              <w:ind w:firstLine="0" w:firstLineChars="0"/>
              <w:rPr>
                <w:rFonts w:ascii="宋体" w:hAns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市场监管局向申请办理食品流通许可证的吕某告知应补正申请材料的通知，吕某认为通知内容违法而起诉</w:t>
            </w:r>
          </w:p>
          <w:p>
            <w:pPr>
              <w:pStyle w:val="6"/>
              <w:numPr>
                <w:ilvl w:val="0"/>
                <w:numId w:val="27"/>
              </w:numPr>
              <w:adjustRightInd w:val="0"/>
              <w:snapToGrid w:val="0"/>
              <w:spacing w:after="0" w:line="360" w:lineRule="exact"/>
              <w:ind w:firstLine="0" w:firstLineChars="0"/>
              <w:rPr>
                <w:rFonts w:ascii="宋体" w:hAns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规划和自然资源局以建城市绿化带为由撤回向某公司发放的国有土地使用权证，该公司不服而起诉</w:t>
            </w:r>
          </w:p>
          <w:p>
            <w:pPr>
              <w:pStyle w:val="6"/>
              <w:numPr>
                <w:ilvl w:val="0"/>
                <w:numId w:val="27"/>
              </w:numPr>
              <w:adjustRightInd w:val="0"/>
              <w:snapToGrid w:val="0"/>
              <w:spacing w:after="0" w:line="360" w:lineRule="exact"/>
              <w:ind w:firstLine="0" w:firstLineChars="0"/>
              <w:rPr>
                <w:rFonts w:ascii="宋体" w:hAns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因企业排污影响郭某的鱼塘，郭某要求环保局履行监管职责，遭拒绝后向法院起诉</w:t>
            </w:r>
          </w:p>
        </w:tc>
        <w:tc>
          <w:tcPr>
            <w:tcW w:w="1083" w:type="dxa"/>
            <w:vAlign w:val="center"/>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hint="eastAsia" w:asciiTheme="minorEastAsia" w:hAnsiTheme="minorEastAsia" w:eastAsiaTheme="minorEastAsia"/>
                <w:caps/>
                <w:color w:val="000000" w:themeColor="text1"/>
                <w:sz w:val="20"/>
                <w:szCs w:val="20"/>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下列行为中，属于具体行政行为的是（</w:t>
            </w:r>
            <w:r>
              <w:rPr>
                <w:rFonts w:ascii="宋体" w:hAnsi="宋体"/>
                <w:caps/>
                <w:color w:val="000000" w:themeColor="text1"/>
                <w:kern w:val="2"/>
                <w:sz w:val="20"/>
                <w:szCs w:val="20"/>
                <w14:textFill>
                  <w14:solidFill>
                    <w14:schemeClr w14:val="tx1"/>
                  </w14:solidFill>
                </w14:textFill>
              </w:rPr>
              <w:t xml:space="preserve">   </w:t>
            </w:r>
            <w:r>
              <w:rPr>
                <w:rFonts w:hint="eastAsia" w:ascii="宋体" w:hAnsi="宋体"/>
                <w:caps/>
                <w:color w:val="000000" w:themeColor="text1"/>
                <w:kern w:val="2"/>
                <w:sz w:val="20"/>
                <w:szCs w:val="20"/>
                <w14:textFill>
                  <w14:solidFill>
                    <w14:schemeClr w14:val="tx1"/>
                  </w14:solidFill>
                </w14:textFill>
              </w:rPr>
              <w:t>）。</w:t>
            </w:r>
          </w:p>
        </w:tc>
        <w:tc>
          <w:tcPr>
            <w:tcW w:w="4111" w:type="dxa"/>
            <w:gridSpan w:val="2"/>
          </w:tcPr>
          <w:p>
            <w:pPr>
              <w:pStyle w:val="6"/>
              <w:numPr>
                <w:ilvl w:val="0"/>
                <w:numId w:val="28"/>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某市政府对所属区政府下达完成年终考核的命令</w:t>
            </w:r>
          </w:p>
          <w:p>
            <w:pPr>
              <w:pStyle w:val="6"/>
              <w:numPr>
                <w:ilvl w:val="0"/>
                <w:numId w:val="28"/>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某市政府作出关于对本市多条道路实施交通管制的决定</w:t>
            </w:r>
          </w:p>
          <w:p>
            <w:pPr>
              <w:pStyle w:val="6"/>
              <w:numPr>
                <w:ilvl w:val="0"/>
                <w:numId w:val="28"/>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某市公安局对某企业违反治安管理的行为进行处罚</w:t>
            </w:r>
          </w:p>
          <w:p>
            <w:pPr>
              <w:pStyle w:val="6"/>
              <w:numPr>
                <w:ilvl w:val="0"/>
                <w:numId w:val="28"/>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某市税务局对本单位王某进行警告处分</w:t>
            </w:r>
          </w:p>
        </w:tc>
        <w:tc>
          <w:tcPr>
            <w:tcW w:w="1100" w:type="dxa"/>
            <w:gridSpan w:val="2"/>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下列获得公职的方式中，只适用于担任主任科员以下及其他相当职务层次的非领导职务公务员的是（</w:t>
            </w:r>
            <w:r>
              <w:rPr>
                <w:rFonts w:ascii="宋体" w:hAnsi="宋体"/>
                <w:caps/>
                <w:color w:val="000000" w:themeColor="text1"/>
                <w:kern w:val="2"/>
                <w:sz w:val="20"/>
                <w:szCs w:val="20"/>
                <w14:textFill>
                  <w14:solidFill>
                    <w14:schemeClr w14:val="tx1"/>
                  </w14:solidFill>
                </w14:textFill>
              </w:rPr>
              <w:t xml:space="preserve">   </w:t>
            </w:r>
            <w:r>
              <w:rPr>
                <w:rFonts w:hint="eastAsia" w:ascii="宋体" w:hAnsi="宋体"/>
                <w:caps/>
                <w:color w:val="000000" w:themeColor="text1"/>
                <w:kern w:val="2"/>
                <w:sz w:val="20"/>
                <w:szCs w:val="20"/>
                <w14:textFill>
                  <w14:solidFill>
                    <w14:schemeClr w14:val="tx1"/>
                  </w14:solidFill>
                </w14:textFill>
              </w:rPr>
              <w:t>）。</w:t>
            </w:r>
          </w:p>
        </w:tc>
        <w:tc>
          <w:tcPr>
            <w:tcW w:w="4111" w:type="dxa"/>
            <w:gridSpan w:val="2"/>
          </w:tcPr>
          <w:p>
            <w:pPr>
              <w:pStyle w:val="6"/>
              <w:numPr>
                <w:ilvl w:val="0"/>
                <w:numId w:val="29"/>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公开考试录用</w:t>
            </w:r>
          </w:p>
          <w:p>
            <w:pPr>
              <w:pStyle w:val="6"/>
              <w:numPr>
                <w:ilvl w:val="0"/>
                <w:numId w:val="29"/>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人大选举任免</w:t>
            </w:r>
          </w:p>
          <w:p>
            <w:pPr>
              <w:pStyle w:val="6"/>
              <w:numPr>
                <w:ilvl w:val="0"/>
                <w:numId w:val="29"/>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聘任</w:t>
            </w:r>
          </w:p>
          <w:p>
            <w:pPr>
              <w:pStyle w:val="6"/>
              <w:numPr>
                <w:ilvl w:val="0"/>
                <w:numId w:val="29"/>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bookmarkStart w:id="1" w:name="OLE_LINK1"/>
            <w:r>
              <w:rPr>
                <w:rFonts w:hint="eastAsia" w:ascii="宋体" w:hAnsi="宋体"/>
                <w:color w:val="000000" w:themeColor="text1"/>
                <w:kern w:val="2"/>
                <w:sz w:val="20"/>
                <w:szCs w:val="20"/>
                <w14:textFill>
                  <w14:solidFill>
                    <w14:schemeClr w14:val="tx1"/>
                  </w14:solidFill>
                </w14:textFill>
              </w:rPr>
              <w:t>调任</w:t>
            </w:r>
            <w:bookmarkEnd w:id="1"/>
          </w:p>
        </w:tc>
        <w:tc>
          <w:tcPr>
            <w:tcW w:w="1100" w:type="dxa"/>
            <w:gridSpan w:val="2"/>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下列社会关系中，不属于行政法调整范围的是（</w:t>
            </w:r>
            <w:r>
              <w:rPr>
                <w:rFonts w:ascii="宋体" w:hAnsi="宋体"/>
                <w:caps/>
                <w:color w:val="000000" w:themeColor="text1"/>
                <w:kern w:val="2"/>
                <w:sz w:val="20"/>
                <w:szCs w:val="20"/>
                <w14:textFill>
                  <w14:solidFill>
                    <w14:schemeClr w14:val="tx1"/>
                  </w14:solidFill>
                </w14:textFill>
              </w:rPr>
              <w:t xml:space="preserve">   </w:t>
            </w:r>
            <w:r>
              <w:rPr>
                <w:rFonts w:hint="eastAsia" w:ascii="宋体" w:hAnsi="宋体"/>
                <w:caps/>
                <w:color w:val="000000" w:themeColor="text1"/>
                <w:kern w:val="2"/>
                <w:sz w:val="20"/>
                <w:szCs w:val="20"/>
                <w14:textFill>
                  <w14:solidFill>
                    <w14:schemeClr w14:val="tx1"/>
                  </w14:solidFill>
                </w14:textFill>
              </w:rPr>
              <w:t>）。</w:t>
            </w:r>
          </w:p>
        </w:tc>
        <w:tc>
          <w:tcPr>
            <w:tcW w:w="4111" w:type="dxa"/>
            <w:gridSpan w:val="2"/>
          </w:tcPr>
          <w:p>
            <w:pPr>
              <w:pStyle w:val="6"/>
              <w:numPr>
                <w:ilvl w:val="0"/>
                <w:numId w:val="30"/>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食品药品监督管理局作出的颁发食品流通许可证的决定</w:t>
            </w:r>
          </w:p>
          <w:p>
            <w:pPr>
              <w:pStyle w:val="6"/>
              <w:numPr>
                <w:ilvl w:val="0"/>
                <w:numId w:val="30"/>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海关因消防管理不善被消防总队处以</w:t>
            </w:r>
            <w:r>
              <w:rPr>
                <w:rFonts w:ascii="宋体" w:hAnsi="宋体"/>
                <w:color w:val="000000" w:themeColor="text1"/>
                <w:kern w:val="2"/>
                <w:sz w:val="20"/>
                <w:szCs w:val="20"/>
                <w14:textFill>
                  <w14:solidFill>
                    <w14:schemeClr w14:val="tx1"/>
                  </w14:solidFill>
                </w14:textFill>
              </w:rPr>
              <w:t>10</w:t>
            </w:r>
            <w:r>
              <w:rPr>
                <w:rFonts w:hint="eastAsia" w:ascii="宋体" w:hAnsi="宋体"/>
                <w:color w:val="000000" w:themeColor="text1"/>
                <w:kern w:val="2"/>
                <w:sz w:val="20"/>
                <w:szCs w:val="20"/>
                <w14:textFill>
                  <w14:solidFill>
                    <w14:schemeClr w14:val="tx1"/>
                  </w14:solidFill>
                </w14:textFill>
              </w:rPr>
              <w:t>万元罚款</w:t>
            </w:r>
          </w:p>
          <w:p>
            <w:pPr>
              <w:pStyle w:val="6"/>
              <w:numPr>
                <w:ilvl w:val="0"/>
                <w:numId w:val="30"/>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民政局决定对本单位违纪的公务员郑某给予降级处分</w:t>
            </w:r>
          </w:p>
          <w:p>
            <w:pPr>
              <w:pStyle w:val="6"/>
              <w:numPr>
                <w:ilvl w:val="0"/>
                <w:numId w:val="30"/>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工商局向某超市订购</w:t>
            </w:r>
            <w:r>
              <w:rPr>
                <w:rFonts w:ascii="宋体" w:hAnsi="宋体"/>
                <w:color w:val="000000" w:themeColor="text1"/>
                <w:kern w:val="2"/>
                <w:sz w:val="20"/>
                <w:szCs w:val="20"/>
                <w14:textFill>
                  <w14:solidFill>
                    <w14:schemeClr w14:val="tx1"/>
                  </w14:solidFill>
                </w14:textFill>
              </w:rPr>
              <w:t>20</w:t>
            </w:r>
            <w:r>
              <w:rPr>
                <w:rFonts w:hint="eastAsia" w:ascii="宋体" w:hAnsi="宋体"/>
                <w:color w:val="000000" w:themeColor="text1"/>
                <w:kern w:val="2"/>
                <w:sz w:val="20"/>
                <w:szCs w:val="20"/>
                <w14:textFill>
                  <w14:solidFill>
                    <w14:schemeClr w14:val="tx1"/>
                  </w14:solidFill>
                </w14:textFill>
              </w:rPr>
              <w:t>箱矿泉水</w:t>
            </w:r>
          </w:p>
        </w:tc>
        <w:tc>
          <w:tcPr>
            <w:tcW w:w="1100" w:type="dxa"/>
            <w:gridSpan w:val="2"/>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pStyle w:val="6"/>
              <w:adjustRightInd w:val="0"/>
              <w:snapToGrid w:val="0"/>
              <w:spacing w:after="0" w:line="360" w:lineRule="exact"/>
              <w:ind w:firstLine="0" w:firstLineChars="0"/>
              <w:rPr>
                <w:rFonts w:ascii="宋体" w:hAnsi="宋体"/>
                <w:caps/>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下列属于行政诉讼受案范围的是（</w:t>
            </w:r>
            <w:r>
              <w:rPr>
                <w:rFonts w:ascii="宋体" w:hAnsi="宋体"/>
                <w:caps/>
                <w:color w:val="000000" w:themeColor="text1"/>
                <w:kern w:val="2"/>
                <w:sz w:val="20"/>
                <w:szCs w:val="20"/>
                <w14:textFill>
                  <w14:solidFill>
                    <w14:schemeClr w14:val="tx1"/>
                  </w14:solidFill>
                </w14:textFill>
              </w:rPr>
              <w:t xml:space="preserve">   </w:t>
            </w:r>
            <w:r>
              <w:rPr>
                <w:rFonts w:hint="eastAsia" w:ascii="宋体" w:hAnsi="宋体"/>
                <w:caps/>
                <w:color w:val="000000" w:themeColor="text1"/>
                <w:kern w:val="2"/>
                <w:sz w:val="20"/>
                <w:szCs w:val="20"/>
                <w14:textFill>
                  <w14:solidFill>
                    <w14:schemeClr w14:val="tx1"/>
                  </w14:solidFill>
                </w14:textFill>
              </w:rPr>
              <w:t>）。</w:t>
            </w:r>
            <w:r>
              <w:rPr>
                <w:rFonts w:ascii="宋体" w:hAnsi="宋体"/>
                <w:caps/>
                <w:color w:val="000000" w:themeColor="text1"/>
                <w:kern w:val="2"/>
                <w:sz w:val="20"/>
                <w:szCs w:val="20"/>
                <w14:textFill>
                  <w14:solidFill>
                    <w14:schemeClr w14:val="tx1"/>
                  </w14:solidFill>
                </w14:textFill>
              </w:rPr>
              <w:t xml:space="preserve"> </w:t>
            </w:r>
          </w:p>
        </w:tc>
        <w:tc>
          <w:tcPr>
            <w:tcW w:w="4111" w:type="dxa"/>
            <w:gridSpan w:val="2"/>
          </w:tcPr>
          <w:p>
            <w:pPr>
              <w:pStyle w:val="6"/>
              <w:numPr>
                <w:ilvl w:val="0"/>
                <w:numId w:val="31"/>
              </w:numPr>
              <w:adjustRightInd w:val="0"/>
              <w:snapToGrid w:val="0"/>
              <w:spacing w:after="0" w:line="360" w:lineRule="exact"/>
              <w:ind w:firstLine="0" w:firstLineChars="0"/>
              <w:rPr>
                <w:rFonts w:ascii="宋体" w:hAns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曹某不服县公安局对有关民事纠纷作出的调解</w:t>
            </w:r>
            <w:r>
              <w:rPr>
                <w:rFonts w:ascii="宋体" w:hAnsi="宋体"/>
                <w:color w:val="000000" w:themeColor="text1"/>
                <w:kern w:val="2"/>
                <w:sz w:val="20"/>
                <w:szCs w:val="20"/>
                <w14:textFill>
                  <w14:solidFill>
                    <w14:schemeClr w14:val="tx1"/>
                  </w14:solidFill>
                </w14:textFill>
              </w:rPr>
              <w:t xml:space="preserve"> </w:t>
            </w:r>
          </w:p>
          <w:p>
            <w:pPr>
              <w:pStyle w:val="6"/>
              <w:numPr>
                <w:ilvl w:val="0"/>
                <w:numId w:val="31"/>
              </w:numPr>
              <w:adjustRightInd w:val="0"/>
              <w:snapToGrid w:val="0"/>
              <w:spacing w:after="0" w:line="360" w:lineRule="exact"/>
              <w:ind w:firstLine="0" w:firstLineChars="0"/>
              <w:rPr>
                <w:rFonts w:ascii="宋体" w:hAns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孙某不服被免去县民政局局长的职务</w:t>
            </w:r>
            <w:r>
              <w:rPr>
                <w:rFonts w:ascii="宋体" w:hAnsi="宋体"/>
                <w:color w:val="000000" w:themeColor="text1"/>
                <w:kern w:val="2"/>
                <w:sz w:val="20"/>
                <w:szCs w:val="20"/>
                <w14:textFill>
                  <w14:solidFill>
                    <w14:schemeClr w14:val="tx1"/>
                  </w14:solidFill>
                </w14:textFill>
              </w:rPr>
              <w:t xml:space="preserve">   </w:t>
            </w:r>
          </w:p>
          <w:p>
            <w:pPr>
              <w:pStyle w:val="6"/>
              <w:numPr>
                <w:ilvl w:val="0"/>
                <w:numId w:val="31"/>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刘某不服某市政府依照规章程序制定的《土地管理规定》</w:t>
            </w:r>
          </w:p>
          <w:p>
            <w:pPr>
              <w:pStyle w:val="6"/>
              <w:numPr>
                <w:ilvl w:val="0"/>
                <w:numId w:val="31"/>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某县环保局不服县劳动局对其作出罚款的处罚决定</w:t>
            </w:r>
          </w:p>
        </w:tc>
        <w:tc>
          <w:tcPr>
            <w:tcW w:w="1100" w:type="dxa"/>
            <w:gridSpan w:val="2"/>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下列选项中，不属于我国行政法渊源的是（</w:t>
            </w:r>
            <w:r>
              <w:rPr>
                <w:rFonts w:ascii="宋体" w:hAnsi="宋体"/>
                <w:caps/>
                <w:color w:val="000000" w:themeColor="text1"/>
                <w:kern w:val="2"/>
                <w:sz w:val="20"/>
                <w:szCs w:val="20"/>
                <w14:textFill>
                  <w14:solidFill>
                    <w14:schemeClr w14:val="tx1"/>
                  </w14:solidFill>
                </w14:textFill>
              </w:rPr>
              <w:t xml:space="preserve">   </w:t>
            </w:r>
            <w:r>
              <w:rPr>
                <w:rFonts w:hint="eastAsia" w:ascii="宋体" w:hAnsi="宋体"/>
                <w:caps/>
                <w:color w:val="000000" w:themeColor="text1"/>
                <w:kern w:val="2"/>
                <w:sz w:val="20"/>
                <w:szCs w:val="20"/>
                <w14:textFill>
                  <w14:solidFill>
                    <w14:schemeClr w14:val="tx1"/>
                  </w14:solidFill>
                </w14:textFill>
              </w:rPr>
              <w:t>）。</w:t>
            </w:r>
          </w:p>
        </w:tc>
        <w:tc>
          <w:tcPr>
            <w:tcW w:w="4111" w:type="dxa"/>
            <w:gridSpan w:val="2"/>
          </w:tcPr>
          <w:p>
            <w:pPr>
              <w:pStyle w:val="6"/>
              <w:numPr>
                <w:ilvl w:val="0"/>
                <w:numId w:val="32"/>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地方政府规章</w:t>
            </w:r>
          </w:p>
          <w:p>
            <w:pPr>
              <w:pStyle w:val="6"/>
              <w:numPr>
                <w:ilvl w:val="0"/>
                <w:numId w:val="32"/>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国际条约</w:t>
            </w:r>
          </w:p>
          <w:p>
            <w:pPr>
              <w:pStyle w:val="6"/>
              <w:numPr>
                <w:ilvl w:val="0"/>
                <w:numId w:val="32"/>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最高人民法院的司法判例</w:t>
            </w:r>
          </w:p>
          <w:p>
            <w:pPr>
              <w:pStyle w:val="6"/>
              <w:numPr>
                <w:ilvl w:val="0"/>
                <w:numId w:val="32"/>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最高人民法院《关于行政诉讼证据若干问题的规定》</w:t>
            </w:r>
          </w:p>
        </w:tc>
        <w:tc>
          <w:tcPr>
            <w:tcW w:w="1100" w:type="dxa"/>
            <w:gridSpan w:val="2"/>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rPr>
                <w:rFonts w:asci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下列选项中，属于行政法律关系特征的是（</w:t>
            </w:r>
            <w:r>
              <w:rPr>
                <w:rFonts w:ascii="宋体" w:hAnsi="宋体"/>
                <w:color w:val="000000" w:themeColor="text1"/>
                <w:sz w:val="20"/>
                <w:szCs w:val="20"/>
                <w14:textFill>
                  <w14:solidFill>
                    <w14:schemeClr w14:val="tx1"/>
                  </w14:solidFill>
                </w14:textFill>
              </w:rPr>
              <w:t xml:space="preserve">   </w:t>
            </w:r>
            <w:r>
              <w:rPr>
                <w:rFonts w:hint="eastAsia" w:ascii="宋体" w:hAnsi="宋体"/>
                <w:color w:val="000000" w:themeColor="text1"/>
                <w:sz w:val="20"/>
                <w:szCs w:val="20"/>
                <w14:textFill>
                  <w14:solidFill>
                    <w14:schemeClr w14:val="tx1"/>
                  </w14:solidFill>
                </w14:textFill>
              </w:rPr>
              <w:t>）。</w:t>
            </w:r>
          </w:p>
        </w:tc>
        <w:tc>
          <w:tcPr>
            <w:tcW w:w="4111" w:type="dxa"/>
            <w:gridSpan w:val="2"/>
          </w:tcPr>
          <w:p>
            <w:pPr>
              <w:pStyle w:val="6"/>
              <w:numPr>
                <w:ilvl w:val="0"/>
                <w:numId w:val="33"/>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权利义务的可处分性</w:t>
            </w:r>
          </w:p>
          <w:p>
            <w:pPr>
              <w:pStyle w:val="6"/>
              <w:numPr>
                <w:ilvl w:val="0"/>
                <w:numId w:val="33"/>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权利义务的法定性</w:t>
            </w:r>
          </w:p>
          <w:p>
            <w:pPr>
              <w:pStyle w:val="6"/>
              <w:numPr>
                <w:ilvl w:val="0"/>
                <w:numId w:val="33"/>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必有一方是行政机关</w:t>
            </w:r>
          </w:p>
          <w:p>
            <w:pPr>
              <w:rPr>
                <w:rFonts w:ascii="宋体"/>
                <w:color w:val="000000" w:themeColor="text1"/>
                <w:szCs w:val="21"/>
                <w14:textFill>
                  <w14:solidFill>
                    <w14:schemeClr w14:val="tx1"/>
                  </w14:solidFill>
                </w14:textFill>
              </w:rPr>
            </w:pPr>
            <w:r>
              <w:rPr>
                <w:rFonts w:ascii="宋体" w:hAnsi="宋体"/>
                <w:color w:val="000000" w:themeColor="text1"/>
                <w:sz w:val="20"/>
                <w:szCs w:val="20"/>
                <w14:textFill>
                  <w14:solidFill>
                    <w14:schemeClr w14:val="tx1"/>
                  </w14:solidFill>
                </w14:textFill>
              </w:rPr>
              <w:t>D.</w:t>
            </w:r>
            <w:r>
              <w:rPr>
                <w:rFonts w:hint="eastAsia" w:ascii="宋体" w:hAnsi="宋体"/>
                <w:color w:val="000000" w:themeColor="text1"/>
                <w:sz w:val="20"/>
                <w:szCs w:val="20"/>
                <w14:textFill>
                  <w14:solidFill>
                    <w14:schemeClr w14:val="tx1"/>
                  </w14:solidFill>
                </w14:textFill>
              </w:rPr>
              <w:t>主体地位的对等性</w:t>
            </w:r>
          </w:p>
        </w:tc>
        <w:tc>
          <w:tcPr>
            <w:tcW w:w="1100" w:type="dxa"/>
            <w:gridSpan w:val="2"/>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下列有关行政法的表述，正确的是（</w:t>
            </w:r>
            <w:r>
              <w:rPr>
                <w:rFonts w:ascii="宋体" w:hAnsi="宋体"/>
                <w:caps/>
                <w:color w:val="000000" w:themeColor="text1"/>
                <w:kern w:val="2"/>
                <w:sz w:val="20"/>
                <w:szCs w:val="20"/>
                <w14:textFill>
                  <w14:solidFill>
                    <w14:schemeClr w14:val="tx1"/>
                  </w14:solidFill>
                </w14:textFill>
              </w:rPr>
              <w:t xml:space="preserve">   </w:t>
            </w:r>
            <w:r>
              <w:rPr>
                <w:rFonts w:hint="eastAsia" w:ascii="宋体" w:hAnsi="宋体"/>
                <w:caps/>
                <w:color w:val="000000" w:themeColor="text1"/>
                <w:kern w:val="2"/>
                <w:sz w:val="20"/>
                <w:szCs w:val="20"/>
                <w14:textFill>
                  <w14:solidFill>
                    <w14:schemeClr w14:val="tx1"/>
                  </w14:solidFill>
                </w14:textFill>
              </w:rPr>
              <w:t>）。</w:t>
            </w:r>
          </w:p>
        </w:tc>
        <w:tc>
          <w:tcPr>
            <w:tcW w:w="4111" w:type="dxa"/>
            <w:gridSpan w:val="2"/>
          </w:tcPr>
          <w:p>
            <w:pPr>
              <w:pStyle w:val="6"/>
              <w:numPr>
                <w:ilvl w:val="0"/>
                <w:numId w:val="34"/>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行政法是行政管理法规的总称</w:t>
            </w:r>
          </w:p>
          <w:p>
            <w:pPr>
              <w:pStyle w:val="6"/>
              <w:numPr>
                <w:ilvl w:val="0"/>
                <w:numId w:val="34"/>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行政法是行政机关制定的法规与规章的总称</w:t>
            </w:r>
          </w:p>
          <w:p>
            <w:pPr>
              <w:pStyle w:val="6"/>
              <w:numPr>
                <w:ilvl w:val="0"/>
                <w:numId w:val="34"/>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行政法是控制、保障和规范行政权的法律规范的总称</w:t>
            </w:r>
          </w:p>
          <w:p>
            <w:pPr>
              <w:pStyle w:val="6"/>
              <w:numPr>
                <w:ilvl w:val="0"/>
                <w:numId w:val="34"/>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行政法是调整所有行政活动的法律规范的总称</w:t>
            </w:r>
          </w:p>
        </w:tc>
        <w:tc>
          <w:tcPr>
            <w:tcW w:w="1100" w:type="dxa"/>
            <w:gridSpan w:val="2"/>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9" w:type="dxa"/>
            <w:gridSpan w:val="2"/>
          </w:tcPr>
          <w:p>
            <w:pPr>
              <w:snapToGrid w:val="0"/>
              <w:spacing w:line="340" w:lineRule="exact"/>
              <w:rPr>
                <w:rFonts w:ascii="Times New Roman" w:hAnsi="Times New Roman"/>
                <w:color w:val="000000" w:themeColor="text1"/>
                <w:sz w:val="20"/>
                <w:szCs w:val="20"/>
                <w14:textFill>
                  <w14:solidFill>
                    <w14:schemeClr w14:val="tx1"/>
                  </w14:solidFill>
                </w14:textFill>
              </w:rPr>
            </w:pPr>
            <w:r>
              <w:rPr>
                <w:rFonts w:ascii="Times New Roman" w:hAnsi="Times New Roman"/>
                <w:color w:val="000000" w:themeColor="text1"/>
                <w:sz w:val="20"/>
                <w:szCs w:val="20"/>
                <w14:textFill>
                  <w14:solidFill>
                    <w14:schemeClr w14:val="tx1"/>
                  </w14:solidFill>
                </w14:textFill>
              </w:rPr>
              <w:t>下列组织中，属于地方人民政府派出机关的是（   ）。</w:t>
            </w:r>
          </w:p>
        </w:tc>
        <w:tc>
          <w:tcPr>
            <w:tcW w:w="4111" w:type="dxa"/>
            <w:gridSpan w:val="2"/>
            <w:vAlign w:val="center"/>
          </w:tcPr>
          <w:p>
            <w:pPr>
              <w:pStyle w:val="6"/>
              <w:adjustRightInd w:val="0"/>
              <w:snapToGrid w:val="0"/>
              <w:spacing w:after="0" w:line="360" w:lineRule="exact"/>
              <w:ind w:firstLine="0" w:firstLineChars="0"/>
              <w:rPr>
                <w:rFonts w:ascii="Times New Roman" w:hAnsi="Times New Roman"/>
                <w:color w:val="000000" w:themeColor="text1"/>
                <w:sz w:val="20"/>
                <w14:textFill>
                  <w14:solidFill>
                    <w14:schemeClr w14:val="tx1"/>
                  </w14:solidFill>
                </w14:textFill>
              </w:rPr>
            </w:pPr>
            <w:r>
              <w:rPr>
                <w:rFonts w:ascii="Times New Roman" w:hAnsi="Times New Roman"/>
                <w:color w:val="000000" w:themeColor="text1"/>
                <w:sz w:val="20"/>
                <w14:textFill>
                  <w14:solidFill>
                    <w14:schemeClr w14:val="tx1"/>
                  </w14:solidFill>
                </w14:textFill>
              </w:rPr>
              <w:t>A.北京市海淀区东升派出所</w:t>
            </w:r>
          </w:p>
          <w:p>
            <w:pPr>
              <w:pStyle w:val="6"/>
              <w:adjustRightInd w:val="0"/>
              <w:snapToGrid w:val="0"/>
              <w:spacing w:after="0" w:line="360" w:lineRule="exact"/>
              <w:ind w:firstLine="0" w:firstLineChars="0"/>
              <w:rPr>
                <w:rFonts w:ascii="Times New Roman" w:hAnsi="Times New Roman"/>
                <w:color w:val="000000" w:themeColor="text1"/>
                <w:sz w:val="20"/>
                <w14:textFill>
                  <w14:solidFill>
                    <w14:schemeClr w14:val="tx1"/>
                  </w14:solidFill>
                </w14:textFill>
              </w:rPr>
            </w:pPr>
            <w:r>
              <w:rPr>
                <w:rFonts w:ascii="Times New Roman" w:hAnsi="Times New Roman"/>
                <w:color w:val="000000" w:themeColor="text1"/>
                <w:sz w:val="20"/>
                <w14:textFill>
                  <w14:solidFill>
                    <w14:schemeClr w14:val="tx1"/>
                  </w14:solidFill>
                </w14:textFill>
              </w:rPr>
              <w:t>B.北京市海淀区六道口社区居委会</w:t>
            </w:r>
          </w:p>
          <w:p>
            <w:pPr>
              <w:pStyle w:val="6"/>
              <w:adjustRightInd w:val="0"/>
              <w:snapToGrid w:val="0"/>
              <w:spacing w:after="0" w:line="360" w:lineRule="exact"/>
              <w:ind w:firstLine="0" w:firstLineChars="0"/>
              <w:rPr>
                <w:rFonts w:ascii="Times New Roman" w:hAnsi="Times New Roman"/>
                <w:color w:val="000000" w:themeColor="text1"/>
                <w:sz w:val="20"/>
                <w14:textFill>
                  <w14:solidFill>
                    <w14:schemeClr w14:val="tx1"/>
                  </w14:solidFill>
                </w14:textFill>
              </w:rPr>
            </w:pPr>
            <w:r>
              <w:rPr>
                <w:rFonts w:ascii="Times New Roman" w:hAnsi="Times New Roman"/>
                <w:color w:val="000000" w:themeColor="text1"/>
                <w:sz w:val="20"/>
                <w14:textFill>
                  <w14:solidFill>
                    <w14:schemeClr w14:val="tx1"/>
                  </w14:solidFill>
                </w14:textFill>
              </w:rPr>
              <w:t>C.黑龙江省大兴安岭地区行政公署</w:t>
            </w:r>
          </w:p>
          <w:p>
            <w:pPr>
              <w:spacing w:line="340" w:lineRule="exact"/>
              <w:rPr>
                <w:rFonts w:ascii="Times New Roman" w:hAnsi="Times New Roman"/>
                <w:caps/>
                <w:color w:val="000000" w:themeColor="text1"/>
                <w:sz w:val="20"/>
                <w:szCs w:val="20"/>
                <w14:textFill>
                  <w14:solidFill>
                    <w14:schemeClr w14:val="tx1"/>
                  </w14:solidFill>
                </w14:textFill>
              </w:rPr>
            </w:pPr>
            <w:r>
              <w:rPr>
                <w:rFonts w:ascii="Times New Roman" w:hAnsi="Times New Roman"/>
                <w:color w:val="000000" w:themeColor="text1"/>
                <w:sz w:val="20"/>
                <w:szCs w:val="20"/>
                <w14:textFill>
                  <w14:solidFill>
                    <w14:schemeClr w14:val="tx1"/>
                  </w14:solidFill>
                </w14:textFill>
              </w:rPr>
              <w:t>D.上海市浦东新区公安分局交警支队</w:t>
            </w:r>
          </w:p>
        </w:tc>
        <w:tc>
          <w:tcPr>
            <w:tcW w:w="1083" w:type="dxa"/>
            <w:vAlign w:val="center"/>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snapToGrid w:val="0"/>
              <w:spacing w:line="340" w:lineRule="exact"/>
              <w:rPr>
                <w:rFonts w:asci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与民法、刑法等其他部门法相比，行政法的一个重要特点是（</w:t>
            </w:r>
            <w:r>
              <w:rPr>
                <w:rFonts w:ascii="宋体" w:hAnsi="宋体"/>
                <w:color w:val="000000" w:themeColor="text1"/>
                <w:sz w:val="20"/>
                <w:szCs w:val="20"/>
                <w14:textFill>
                  <w14:solidFill>
                    <w14:schemeClr w14:val="tx1"/>
                  </w14:solidFill>
                </w14:textFill>
              </w:rPr>
              <w:t xml:space="preserve">   </w:t>
            </w:r>
            <w:r>
              <w:rPr>
                <w:rFonts w:hint="eastAsia" w:ascii="宋体" w:hAnsi="宋体"/>
                <w:color w:val="000000" w:themeColor="text1"/>
                <w:sz w:val="20"/>
                <w:szCs w:val="20"/>
                <w14:textFill>
                  <w14:solidFill>
                    <w14:schemeClr w14:val="tx1"/>
                  </w14:solidFill>
                </w14:textFill>
              </w:rPr>
              <w:t>）。</w:t>
            </w:r>
          </w:p>
        </w:tc>
        <w:tc>
          <w:tcPr>
            <w:tcW w:w="4111" w:type="dxa"/>
            <w:gridSpan w:val="2"/>
          </w:tcPr>
          <w:p>
            <w:pPr>
              <w:pStyle w:val="6"/>
              <w:numPr>
                <w:ilvl w:val="0"/>
                <w:numId w:val="35"/>
              </w:numPr>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没有一部统一的实体法典</w:t>
            </w:r>
          </w:p>
          <w:p>
            <w:pPr>
              <w:pStyle w:val="6"/>
              <w:numPr>
                <w:ilvl w:val="0"/>
                <w:numId w:val="35"/>
              </w:numPr>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有一部统一的实体法典</w:t>
            </w:r>
          </w:p>
          <w:p>
            <w:pPr>
              <w:pStyle w:val="6"/>
              <w:numPr>
                <w:ilvl w:val="0"/>
                <w:numId w:val="35"/>
              </w:numPr>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我国尚没有一部统一的实体法典，但多数国家已有一部统一的法典</w:t>
            </w:r>
          </w:p>
          <w:p>
            <w:pPr>
              <w:pStyle w:val="6"/>
              <w:numPr>
                <w:ilvl w:val="0"/>
                <w:numId w:val="35"/>
              </w:numPr>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我国有一部统一的实体法典，但多数国家尚没有一部统一的法典</w:t>
            </w:r>
          </w:p>
        </w:tc>
        <w:tc>
          <w:tcPr>
            <w:tcW w:w="1100" w:type="dxa"/>
            <w:gridSpan w:val="2"/>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9" w:type="dxa"/>
            <w:gridSpan w:val="2"/>
          </w:tcPr>
          <w:p>
            <w:pPr>
              <w:snapToGrid w:val="0"/>
              <w:spacing w:line="340" w:lineRule="exact"/>
              <w:rPr>
                <w:rFonts w:ascii="Times New Roman" w:hAnsi="Times New Roman"/>
                <w:color w:val="000000" w:themeColor="text1"/>
                <w:sz w:val="20"/>
                <w:szCs w:val="20"/>
                <w14:textFill>
                  <w14:solidFill>
                    <w14:schemeClr w14:val="tx1"/>
                  </w14:solidFill>
                </w14:textFill>
              </w:rPr>
            </w:pPr>
            <w:r>
              <w:rPr>
                <w:rFonts w:ascii="Times New Roman" w:hAnsi="Times New Roman"/>
                <w:color w:val="000000" w:themeColor="text1"/>
                <w:sz w:val="20"/>
                <w:szCs w:val="20"/>
                <w14:textFill>
                  <w14:solidFill>
                    <w14:schemeClr w14:val="tx1"/>
                  </w14:solidFill>
                </w14:textFill>
              </w:rPr>
              <w:t>在行政诉讼中，对被诉行政行为合法性负有举证责任的是（   ）。</w:t>
            </w:r>
          </w:p>
          <w:p>
            <w:pPr>
              <w:snapToGrid w:val="0"/>
              <w:spacing w:line="340" w:lineRule="exact"/>
              <w:rPr>
                <w:rFonts w:ascii="Times New Roman" w:hAnsi="Times New Roman"/>
                <w:color w:val="000000" w:themeColor="text1"/>
                <w:sz w:val="20"/>
                <w:szCs w:val="20"/>
                <w14:textFill>
                  <w14:solidFill>
                    <w14:schemeClr w14:val="tx1"/>
                  </w14:solidFill>
                </w14:textFill>
              </w:rPr>
            </w:pPr>
          </w:p>
        </w:tc>
        <w:tc>
          <w:tcPr>
            <w:tcW w:w="4111" w:type="dxa"/>
            <w:gridSpan w:val="2"/>
            <w:vAlign w:val="center"/>
          </w:tcPr>
          <w:p>
            <w:pPr>
              <w:pStyle w:val="6"/>
              <w:adjustRightInd w:val="0"/>
              <w:snapToGrid w:val="0"/>
              <w:spacing w:after="0" w:line="360" w:lineRule="exact"/>
              <w:ind w:firstLine="0" w:firstLineChars="0"/>
              <w:rPr>
                <w:rFonts w:ascii="Times New Roman" w:hAnsi="Times New Roman"/>
                <w:color w:val="000000" w:themeColor="text1"/>
                <w:sz w:val="20"/>
                <w14:textFill>
                  <w14:solidFill>
                    <w14:schemeClr w14:val="tx1"/>
                  </w14:solidFill>
                </w14:textFill>
              </w:rPr>
            </w:pPr>
            <w:r>
              <w:rPr>
                <w:rFonts w:ascii="Times New Roman" w:hAnsi="Times New Roman"/>
                <w:color w:val="000000" w:themeColor="text1"/>
                <w:sz w:val="20"/>
                <w14:textFill>
                  <w14:solidFill>
                    <w14:schemeClr w14:val="tx1"/>
                  </w14:solidFill>
                </w14:textFill>
              </w:rPr>
              <w:t>A.原告</w:t>
            </w:r>
          </w:p>
          <w:p>
            <w:pPr>
              <w:pStyle w:val="6"/>
              <w:adjustRightInd w:val="0"/>
              <w:snapToGrid w:val="0"/>
              <w:spacing w:after="0" w:line="360" w:lineRule="exact"/>
              <w:ind w:firstLine="0" w:firstLineChars="0"/>
              <w:rPr>
                <w:rFonts w:ascii="Times New Roman" w:hAnsi="Times New Roman"/>
                <w:color w:val="000000" w:themeColor="text1"/>
                <w:sz w:val="20"/>
                <w14:textFill>
                  <w14:solidFill>
                    <w14:schemeClr w14:val="tx1"/>
                  </w14:solidFill>
                </w14:textFill>
              </w:rPr>
            </w:pPr>
            <w:r>
              <w:rPr>
                <w:rFonts w:ascii="Times New Roman" w:hAnsi="Times New Roman"/>
                <w:color w:val="000000" w:themeColor="text1"/>
                <w:sz w:val="20"/>
                <w14:textFill>
                  <w14:solidFill>
                    <w14:schemeClr w14:val="tx1"/>
                  </w14:solidFill>
                </w14:textFill>
              </w:rPr>
              <w:t>B.被告</w:t>
            </w:r>
          </w:p>
          <w:p>
            <w:pPr>
              <w:pStyle w:val="6"/>
              <w:adjustRightInd w:val="0"/>
              <w:snapToGrid w:val="0"/>
              <w:spacing w:after="0" w:line="360" w:lineRule="exact"/>
              <w:ind w:firstLine="0" w:firstLineChars="0"/>
              <w:rPr>
                <w:rFonts w:ascii="Times New Roman" w:hAnsi="Times New Roman"/>
                <w:color w:val="000000" w:themeColor="text1"/>
                <w:sz w:val="20"/>
                <w14:textFill>
                  <w14:solidFill>
                    <w14:schemeClr w14:val="tx1"/>
                  </w14:solidFill>
                </w14:textFill>
              </w:rPr>
            </w:pPr>
            <w:r>
              <w:rPr>
                <w:rFonts w:ascii="Times New Roman" w:hAnsi="Times New Roman"/>
                <w:color w:val="000000" w:themeColor="text1"/>
                <w:sz w:val="20"/>
                <w14:textFill>
                  <w14:solidFill>
                    <w14:schemeClr w14:val="tx1"/>
                  </w14:solidFill>
                </w14:textFill>
              </w:rPr>
              <w:t>C.第三人</w:t>
            </w:r>
          </w:p>
          <w:p>
            <w:pPr>
              <w:spacing w:line="340" w:lineRule="exact"/>
              <w:rPr>
                <w:rFonts w:ascii="Times New Roman" w:hAnsi="Times New Roman"/>
                <w:caps/>
                <w:color w:val="000000" w:themeColor="text1"/>
                <w:sz w:val="20"/>
                <w:szCs w:val="20"/>
                <w14:textFill>
                  <w14:solidFill>
                    <w14:schemeClr w14:val="tx1"/>
                  </w14:solidFill>
                </w14:textFill>
              </w:rPr>
            </w:pPr>
            <w:r>
              <w:rPr>
                <w:rFonts w:ascii="Times New Roman" w:hAnsi="Times New Roman"/>
                <w:color w:val="000000" w:themeColor="text1"/>
                <w:sz w:val="20"/>
                <w:szCs w:val="20"/>
                <w14:textFill>
                  <w14:solidFill>
                    <w14:schemeClr w14:val="tx1"/>
                  </w14:solidFill>
                </w14:textFill>
              </w:rPr>
              <w:t>D.人民法院</w:t>
            </w:r>
          </w:p>
        </w:tc>
        <w:tc>
          <w:tcPr>
            <w:tcW w:w="1083" w:type="dxa"/>
            <w:vAlign w:val="center"/>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B</w:t>
            </w:r>
          </w:p>
        </w:tc>
      </w:tr>
    </w:tbl>
    <w:p>
      <w:pPr>
        <w:rPr>
          <w:rFonts w:ascii="宋体"/>
          <w:color w:val="000000" w:themeColor="text1"/>
          <w:szCs w:val="21"/>
          <w14:textFill>
            <w14:solidFill>
              <w14:schemeClr w14:val="tx1"/>
            </w14:solidFill>
          </w14:textFill>
        </w:rPr>
      </w:pPr>
    </w:p>
    <w:p>
      <w:pP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二、多项选择题</w:t>
      </w:r>
    </w:p>
    <w:tbl>
      <w:tblPr>
        <w:tblStyle w:val="7"/>
        <w:tblpPr w:leftFromText="180" w:rightFromText="180" w:vertAnchor="text" w:tblpY="1"/>
        <w:tblOverlap w:val="never"/>
        <w:tblW w:w="87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02"/>
        <w:gridCol w:w="4111"/>
        <w:gridCol w:w="12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snapToGrid w:val="0"/>
              <w:spacing w:line="340" w:lineRule="exact"/>
              <w:jc w:val="center"/>
              <w:rPr>
                <w:rFonts w:ascii="宋体" w:hAnsi="宋体"/>
                <w:b/>
                <w:color w:val="000000" w:themeColor="text1"/>
                <w:sz w:val="20"/>
                <w:szCs w:val="20"/>
                <w14:textFill>
                  <w14:solidFill>
                    <w14:schemeClr w14:val="tx1"/>
                  </w14:solidFill>
                </w14:textFill>
              </w:rPr>
            </w:pPr>
            <w:r>
              <w:rPr>
                <w:rFonts w:hint="eastAsia" w:ascii="宋体" w:hAnsi="宋体"/>
                <w:b/>
                <w:color w:val="000000" w:themeColor="text1"/>
                <w:sz w:val="20"/>
                <w:szCs w:val="20"/>
                <w14:textFill>
                  <w14:solidFill>
                    <w14:schemeClr w14:val="tx1"/>
                  </w14:solidFill>
                </w14:textFill>
              </w:rPr>
              <w:t>多项选择题</w:t>
            </w:r>
          </w:p>
        </w:tc>
        <w:tc>
          <w:tcPr>
            <w:tcW w:w="4111" w:type="dxa"/>
          </w:tcPr>
          <w:p>
            <w:pPr>
              <w:pStyle w:val="6"/>
              <w:adjustRightInd w:val="0"/>
              <w:snapToGrid w:val="0"/>
              <w:spacing w:after="0" w:line="360" w:lineRule="exact"/>
              <w:ind w:firstLine="0" w:firstLineChars="0"/>
              <w:jc w:val="center"/>
              <w:rPr>
                <w:rFonts w:ascii="宋体" w:hAnsi="宋体"/>
                <w:b/>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题干</w:t>
            </w:r>
          </w:p>
        </w:tc>
        <w:tc>
          <w:tcPr>
            <w:tcW w:w="1213" w:type="dxa"/>
            <w:vAlign w:val="center"/>
          </w:tcPr>
          <w:p>
            <w:pPr>
              <w:spacing w:line="340" w:lineRule="exact"/>
              <w:jc w:val="center"/>
              <w:rPr>
                <w:rFonts w:asciiTheme="minorEastAsia" w:hAnsiTheme="minorEastAsia" w:eastAsiaTheme="minorEastAsia"/>
                <w:b/>
                <w:caps/>
                <w:color w:val="000000" w:themeColor="text1"/>
                <w:sz w:val="20"/>
                <w:szCs w:val="20"/>
                <w14:textFill>
                  <w14:solidFill>
                    <w14:schemeClr w14:val="tx1"/>
                  </w14:solidFill>
                </w14:textFill>
              </w:rPr>
            </w:pPr>
            <w:r>
              <w:rPr>
                <w:rFonts w:asciiTheme="minorEastAsia" w:hAnsiTheme="minorEastAsia" w:eastAsiaTheme="minorEastAsia"/>
                <w:b/>
                <w:caps/>
                <w:color w:val="000000" w:themeColor="text1"/>
                <w:sz w:val="20"/>
                <w:szCs w:val="20"/>
                <w14:textFill>
                  <w14:solidFill>
                    <w14:schemeClr w14:val="tx1"/>
                  </w14:solidFill>
                </w14:textFill>
              </w:rPr>
              <w:t>参考答案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snapToGrid w:val="0"/>
              <w:spacing w:line="340" w:lineRule="exact"/>
              <w:rPr>
                <w:rFonts w:ascii="宋体"/>
                <w:color w:val="000000" w:themeColor="text1"/>
                <w:sz w:val="20"/>
                <w:szCs w:val="20"/>
                <w14:textFill>
                  <w14:solidFill>
                    <w14:schemeClr w14:val="tx1"/>
                  </w14:solidFill>
                </w14:textFill>
              </w:rPr>
            </w:pPr>
            <w:r>
              <w:rPr>
                <w:rFonts w:ascii="宋体" w:hAnsi="宋体"/>
                <w:color w:val="000000" w:themeColor="text1"/>
                <w:sz w:val="20"/>
                <w:szCs w:val="20"/>
                <w14:textFill>
                  <w14:solidFill>
                    <w14:schemeClr w14:val="tx1"/>
                  </w14:solidFill>
                </w14:textFill>
              </w:rPr>
              <w:t>2017</w:t>
            </w:r>
            <w:r>
              <w:rPr>
                <w:rFonts w:hint="eastAsia" w:ascii="宋体" w:hAnsi="宋体"/>
                <w:color w:val="000000" w:themeColor="text1"/>
                <w:sz w:val="20"/>
                <w:szCs w:val="20"/>
                <w14:textFill>
                  <w14:solidFill>
                    <w14:schemeClr w14:val="tx1"/>
                  </w14:solidFill>
                </w14:textFill>
              </w:rPr>
              <w:t>年，某市政府出台《全市中小学入学工作管理办法》（该办法具有法规范效力，属于行政法渊源），规定按照“均衡教育资源、距离相对就近”的原则进行学区划分。随后，市教育局依照《管理办法》对全市公办小学的施教区域进行了划分，并向社会公布。适龄儿童顾某（</w:t>
            </w:r>
            <w:r>
              <w:rPr>
                <w:rFonts w:ascii="宋体" w:hAnsi="宋体"/>
                <w:color w:val="000000" w:themeColor="text1"/>
                <w:sz w:val="20"/>
                <w:szCs w:val="20"/>
                <w14:textFill>
                  <w14:solidFill>
                    <w14:schemeClr w14:val="tx1"/>
                  </w14:solidFill>
                </w14:textFill>
              </w:rPr>
              <w:t>7</w:t>
            </w:r>
            <w:r>
              <w:rPr>
                <w:rFonts w:hint="eastAsia" w:ascii="宋体" w:hAnsi="宋体"/>
                <w:color w:val="000000" w:themeColor="text1"/>
                <w:sz w:val="20"/>
                <w:szCs w:val="20"/>
                <w14:textFill>
                  <w14:solidFill>
                    <w14:schemeClr w14:val="tx1"/>
                  </w14:solidFill>
                </w14:textFill>
              </w:rPr>
              <w:t>岁）的户籍所在地被划入第三小学的施教区范围，距离其所居住的小区有两公里远，而第一小学与其所居住的小区仅一条马路之隔，步行只需要</w:t>
            </w:r>
            <w:r>
              <w:rPr>
                <w:rFonts w:ascii="宋体" w:hAnsi="宋体"/>
                <w:color w:val="000000" w:themeColor="text1"/>
                <w:sz w:val="20"/>
                <w:szCs w:val="20"/>
                <w14:textFill>
                  <w14:solidFill>
                    <w14:schemeClr w14:val="tx1"/>
                  </w14:solidFill>
                </w14:textFill>
              </w:rPr>
              <w:t>5</w:t>
            </w:r>
            <w:r>
              <w:rPr>
                <w:rFonts w:hint="eastAsia" w:ascii="宋体" w:hAnsi="宋体"/>
                <w:color w:val="000000" w:themeColor="text1"/>
                <w:sz w:val="20"/>
                <w:szCs w:val="20"/>
                <w14:textFill>
                  <w14:solidFill>
                    <w14:schemeClr w14:val="tx1"/>
                  </w14:solidFill>
                </w14:textFill>
              </w:rPr>
              <w:t>分钟。为此，顾某的父亲顾先生向法院起诉，要求撤销市教育局的学区划分行为。对于本案，下列说法正确的是（</w:t>
            </w:r>
            <w:r>
              <w:rPr>
                <w:rFonts w:ascii="宋体" w:hAnsi="宋体"/>
                <w:color w:val="000000" w:themeColor="text1"/>
                <w:sz w:val="20"/>
                <w:szCs w:val="20"/>
                <w14:textFill>
                  <w14:solidFill>
                    <w14:schemeClr w14:val="tx1"/>
                  </w14:solidFill>
                </w14:textFill>
              </w:rPr>
              <w:t xml:space="preserve">   </w:t>
            </w:r>
            <w:r>
              <w:rPr>
                <w:rFonts w:hint="eastAsia" w:ascii="宋体" w:hAnsi="宋体"/>
                <w:color w:val="000000" w:themeColor="text1"/>
                <w:sz w:val="20"/>
                <w:szCs w:val="20"/>
                <w14:textFill>
                  <w14:solidFill>
                    <w14:schemeClr w14:val="tx1"/>
                  </w14:solidFill>
                </w14:textFill>
              </w:rPr>
              <w:t>）。</w:t>
            </w:r>
          </w:p>
        </w:tc>
        <w:tc>
          <w:tcPr>
            <w:tcW w:w="4111" w:type="dxa"/>
          </w:tcPr>
          <w:p>
            <w:pPr>
              <w:pStyle w:val="6"/>
              <w:numPr>
                <w:ilvl w:val="0"/>
                <w:numId w:val="36"/>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市政府制定《管理办法》的行为属于抽象行政行为</w:t>
            </w:r>
          </w:p>
          <w:p>
            <w:pPr>
              <w:pStyle w:val="6"/>
              <w:numPr>
                <w:ilvl w:val="0"/>
                <w:numId w:val="36"/>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顾先生起诉市教育局的学区划分行为，应当向市教育局所在地的基层人民法院起诉</w:t>
            </w:r>
          </w:p>
          <w:p>
            <w:pPr>
              <w:pStyle w:val="6"/>
              <w:numPr>
                <w:ilvl w:val="0"/>
                <w:numId w:val="36"/>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顾先生可以要求法院一并审查作为学区划分行为依据的《管理办法》</w:t>
            </w:r>
          </w:p>
          <w:p>
            <w:pPr>
              <w:pStyle w:val="6"/>
              <w:numPr>
                <w:ilvl w:val="0"/>
                <w:numId w:val="36"/>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若顾先生向基层人民法院起诉，法院既不立案又不作出不予立案的裁定，则顾先生可以向中级人民法院起诉</w:t>
            </w:r>
          </w:p>
        </w:tc>
        <w:tc>
          <w:tcPr>
            <w:tcW w:w="1213" w:type="dxa"/>
            <w:vAlign w:val="center"/>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A;b;d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崔某向某市质监局申请办理《特种设备作业人员证》，但质监局一直未给予办理，也未作任何答复，崔某欲向人民法院起诉。对此，下列说法错误的是（</w:t>
            </w:r>
            <w:r>
              <w:rPr>
                <w:rFonts w:ascii="宋体" w:hAnsi="宋体"/>
                <w:caps/>
                <w:color w:val="000000" w:themeColor="text1"/>
                <w:kern w:val="2"/>
                <w:sz w:val="20"/>
                <w:szCs w:val="20"/>
                <w14:textFill>
                  <w14:solidFill>
                    <w14:schemeClr w14:val="tx1"/>
                  </w14:solidFill>
                </w14:textFill>
              </w:rPr>
              <w:t xml:space="preserve">   </w:t>
            </w:r>
            <w:r>
              <w:rPr>
                <w:rFonts w:hint="eastAsia" w:ascii="宋体" w:hAnsi="宋体"/>
                <w:caps/>
                <w:color w:val="000000" w:themeColor="text1"/>
                <w:kern w:val="2"/>
                <w:sz w:val="20"/>
                <w:szCs w:val="20"/>
                <w14:textFill>
                  <w14:solidFill>
                    <w14:schemeClr w14:val="tx1"/>
                  </w14:solidFill>
                </w14:textFill>
              </w:rPr>
              <w:t>）。</w:t>
            </w:r>
          </w:p>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p>
        </w:tc>
        <w:tc>
          <w:tcPr>
            <w:tcW w:w="4111" w:type="dxa"/>
          </w:tcPr>
          <w:p>
            <w:pPr>
              <w:pStyle w:val="6"/>
              <w:numPr>
                <w:ilvl w:val="0"/>
                <w:numId w:val="37"/>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崔某应当向质监局所在地的中级人民法院起诉</w:t>
            </w:r>
          </w:p>
          <w:p>
            <w:pPr>
              <w:pStyle w:val="6"/>
              <w:numPr>
                <w:ilvl w:val="0"/>
                <w:numId w:val="37"/>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质监局的行为属于行政诉讼的受案范围，人民法院应当予以受理</w:t>
            </w:r>
          </w:p>
          <w:p>
            <w:pPr>
              <w:pStyle w:val="6"/>
              <w:numPr>
                <w:ilvl w:val="0"/>
                <w:numId w:val="37"/>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质监局应当承担全部的举证责任</w:t>
            </w:r>
          </w:p>
          <w:p>
            <w:pPr>
              <w:pStyle w:val="6"/>
              <w:numPr>
                <w:ilvl w:val="0"/>
                <w:numId w:val="37"/>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崔某须证明自己向质监局提出过申请</w:t>
            </w:r>
          </w:p>
        </w:tc>
        <w:tc>
          <w:tcPr>
            <w:tcW w:w="1213" w:type="dxa"/>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A;C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spacing w:after="31" w:afterLines="10" w:line="288" w:lineRule="auto"/>
              <w:rPr>
                <w:rFonts w:asci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杜某、方某等人于</w:t>
            </w:r>
            <w:r>
              <w:rPr>
                <w:rFonts w:ascii="宋体" w:hAnsi="宋体"/>
                <w:color w:val="000000" w:themeColor="text1"/>
                <w:sz w:val="20"/>
                <w:szCs w:val="20"/>
                <w14:textFill>
                  <w14:solidFill>
                    <w14:schemeClr w14:val="tx1"/>
                  </w14:solidFill>
                </w14:textFill>
              </w:rPr>
              <w:t>2016</w:t>
            </w:r>
            <w:r>
              <w:rPr>
                <w:rFonts w:hint="eastAsia" w:ascii="宋体" w:hAnsi="宋体"/>
                <w:color w:val="000000" w:themeColor="text1"/>
                <w:sz w:val="20"/>
                <w:szCs w:val="20"/>
                <w14:textFill>
                  <w14:solidFill>
                    <w14:schemeClr w14:val="tx1"/>
                  </w14:solidFill>
                </w14:textFill>
              </w:rPr>
              <w:t>年通过考试获得执业医师资格证书。</w:t>
            </w:r>
            <w:r>
              <w:rPr>
                <w:rFonts w:ascii="宋体" w:hAnsi="宋体"/>
                <w:color w:val="000000" w:themeColor="text1"/>
                <w:sz w:val="20"/>
                <w:szCs w:val="20"/>
                <w14:textFill>
                  <w14:solidFill>
                    <w14:schemeClr w14:val="tx1"/>
                  </w14:solidFill>
                </w14:textFill>
              </w:rPr>
              <w:t>2017</w:t>
            </w:r>
            <w:r>
              <w:rPr>
                <w:rFonts w:hint="eastAsia" w:ascii="宋体" w:hAnsi="宋体"/>
                <w:color w:val="000000" w:themeColor="text1"/>
                <w:sz w:val="20"/>
                <w:szCs w:val="20"/>
                <w14:textFill>
                  <w14:solidFill>
                    <w14:schemeClr w14:val="tx1"/>
                  </w14:solidFill>
                </w14:textFill>
              </w:rPr>
              <w:t>年</w:t>
            </w:r>
            <w:r>
              <w:rPr>
                <w:rFonts w:ascii="宋体" w:hAnsi="宋体"/>
                <w:color w:val="000000" w:themeColor="text1"/>
                <w:sz w:val="20"/>
                <w:szCs w:val="20"/>
                <w14:textFill>
                  <w14:solidFill>
                    <w14:schemeClr w14:val="tx1"/>
                  </w14:solidFill>
                </w14:textFill>
              </w:rPr>
              <w:t>9</w:t>
            </w:r>
            <w:r>
              <w:rPr>
                <w:rFonts w:hint="eastAsia" w:ascii="宋体" w:hAnsi="宋体"/>
                <w:color w:val="000000" w:themeColor="text1"/>
                <w:sz w:val="20"/>
                <w:szCs w:val="20"/>
                <w14:textFill>
                  <w14:solidFill>
                    <w14:schemeClr w14:val="tx1"/>
                  </w14:solidFill>
                </w14:textFill>
              </w:rPr>
              <w:t>月，杜某、方某向卫生局申请开办一家私立医院。对此，下列说法错误的是（</w:t>
            </w:r>
            <w:r>
              <w:rPr>
                <w:rFonts w:ascii="宋体" w:hAnsi="宋体"/>
                <w:color w:val="000000" w:themeColor="text1"/>
                <w:sz w:val="20"/>
                <w:szCs w:val="20"/>
                <w14:textFill>
                  <w14:solidFill>
                    <w14:schemeClr w14:val="tx1"/>
                  </w14:solidFill>
                </w14:textFill>
              </w:rPr>
              <w:t xml:space="preserve">   </w:t>
            </w:r>
            <w:r>
              <w:rPr>
                <w:rFonts w:hint="eastAsia" w:ascii="宋体" w:hAnsi="宋体"/>
                <w:color w:val="000000" w:themeColor="text1"/>
                <w:sz w:val="20"/>
                <w:szCs w:val="20"/>
                <w14:textFill>
                  <w14:solidFill>
                    <w14:schemeClr w14:val="tx1"/>
                  </w14:solidFill>
                </w14:textFill>
              </w:rPr>
              <w:t>）。</w:t>
            </w:r>
          </w:p>
        </w:tc>
        <w:tc>
          <w:tcPr>
            <w:tcW w:w="4111" w:type="dxa"/>
          </w:tcPr>
          <w:p>
            <w:pPr>
              <w:pStyle w:val="6"/>
              <w:numPr>
                <w:ilvl w:val="0"/>
                <w:numId w:val="38"/>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有关部门向杜某、方某等人颁发执业医师资格证书的行为属于行政确认，而卫生局批准开办私立医院的行为属于行政许可</w:t>
            </w:r>
          </w:p>
          <w:p>
            <w:pPr>
              <w:pStyle w:val="6"/>
              <w:numPr>
                <w:ilvl w:val="0"/>
                <w:numId w:val="38"/>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若卫生局认为批准杜某、方某开办私立医院属于需要听证的涉及公共利益的重大事项，应当向社会公告，并举行听证</w:t>
            </w:r>
          </w:p>
          <w:p>
            <w:pPr>
              <w:pStyle w:val="6"/>
              <w:numPr>
                <w:ilvl w:val="0"/>
                <w:numId w:val="38"/>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卫生局可以在其法定权限范围内，将批准开办私立医院的权力委托给当地的一所医科大学</w:t>
            </w:r>
          </w:p>
          <w:p>
            <w:pPr>
              <w:pStyle w:val="6"/>
              <w:numPr>
                <w:ilvl w:val="0"/>
                <w:numId w:val="38"/>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若杜某、方某以提供虚假材料等欺骗的方式获得批准，卫生局发现后可以依职权予以撤回</w:t>
            </w:r>
          </w:p>
        </w:tc>
        <w:tc>
          <w:tcPr>
            <w:tcW w:w="1213" w:type="dxa"/>
            <w:vAlign w:val="center"/>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olor w:val="000000" w:themeColor="text1"/>
                <w:sz w:val="20"/>
                <w:szCs w:val="20"/>
                <w14:textFill>
                  <w14:solidFill>
                    <w14:schemeClr w14:val="tx1"/>
                  </w14:solidFill>
                </w14:textFill>
              </w:rPr>
              <w:t>A;C;D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对涉及国务院甲、乙、丙三个部委职权范围的事项，若需行政立法调整，可以通过下列哪些方式予以规范？（</w:t>
            </w:r>
            <w:r>
              <w:rPr>
                <w:rFonts w:ascii="宋体" w:hAnsi="宋体"/>
                <w:caps/>
                <w:color w:val="000000" w:themeColor="text1"/>
                <w:kern w:val="2"/>
                <w:sz w:val="20"/>
                <w:szCs w:val="20"/>
                <w14:textFill>
                  <w14:solidFill>
                    <w14:schemeClr w14:val="tx1"/>
                  </w14:solidFill>
                </w14:textFill>
              </w:rPr>
              <w:t xml:space="preserve">   </w:t>
            </w:r>
            <w:r>
              <w:rPr>
                <w:rFonts w:hint="eastAsia" w:ascii="宋体" w:hAnsi="宋体"/>
                <w:caps/>
                <w:color w:val="000000" w:themeColor="text1"/>
                <w:kern w:val="2"/>
                <w:sz w:val="20"/>
                <w:szCs w:val="20"/>
                <w14:textFill>
                  <w14:solidFill>
                    <w14:schemeClr w14:val="tx1"/>
                  </w14:solidFill>
                </w14:textFill>
              </w:rPr>
              <w:t>）</w:t>
            </w:r>
          </w:p>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p>
        </w:tc>
        <w:tc>
          <w:tcPr>
            <w:tcW w:w="4111" w:type="dxa"/>
          </w:tcPr>
          <w:p>
            <w:pPr>
              <w:pStyle w:val="6"/>
              <w:numPr>
                <w:ilvl w:val="0"/>
                <w:numId w:val="39"/>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提请全国人大常委会制定法律</w:t>
            </w:r>
          </w:p>
          <w:p>
            <w:pPr>
              <w:pStyle w:val="6"/>
              <w:numPr>
                <w:ilvl w:val="0"/>
                <w:numId w:val="39"/>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提请国务院制定行政法规</w:t>
            </w:r>
          </w:p>
          <w:p>
            <w:pPr>
              <w:pStyle w:val="6"/>
              <w:numPr>
                <w:ilvl w:val="0"/>
                <w:numId w:val="39"/>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由甲、乙、丙任何一个部委制定规章</w:t>
            </w:r>
          </w:p>
          <w:p>
            <w:pPr>
              <w:pStyle w:val="6"/>
              <w:numPr>
                <w:ilvl w:val="0"/>
                <w:numId w:val="39"/>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由甲、乙、丙三部委联合制定规章</w:t>
            </w:r>
          </w:p>
        </w:tc>
        <w:tc>
          <w:tcPr>
            <w:tcW w:w="1213" w:type="dxa"/>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B;d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snapToGrid w:val="0"/>
              <w:spacing w:line="340" w:lineRule="exact"/>
              <w:rPr>
                <w:rFonts w:ascii="Times New Roman" w:hAnsi="Times New Roman"/>
                <w:color w:val="000000" w:themeColor="text1"/>
                <w:sz w:val="20"/>
                <w:szCs w:val="20"/>
                <w14:textFill>
                  <w14:solidFill>
                    <w14:schemeClr w14:val="tx1"/>
                  </w14:solidFill>
                </w14:textFill>
              </w:rPr>
            </w:pPr>
            <w:r>
              <w:rPr>
                <w:rFonts w:ascii="Times New Roman" w:hAnsi="Times New Roman"/>
                <w:color w:val="000000" w:themeColor="text1"/>
                <w:sz w:val="20"/>
                <w:szCs w:val="20"/>
                <w14:textFill>
                  <w14:solidFill>
                    <w14:schemeClr w14:val="tx1"/>
                  </w14:solidFill>
                </w14:textFill>
              </w:rPr>
              <w:t>根据《公务员法》的规定，下列情形中，行政机关应当辞退公务员的是（   ）。</w:t>
            </w:r>
          </w:p>
          <w:p>
            <w:pPr>
              <w:snapToGrid w:val="0"/>
              <w:spacing w:line="340" w:lineRule="exact"/>
              <w:rPr>
                <w:rFonts w:ascii="Times New Roman" w:hAnsi="Times New Roman"/>
                <w:color w:val="000000" w:themeColor="text1"/>
                <w14:textFill>
                  <w14:solidFill>
                    <w14:schemeClr w14:val="tx1"/>
                  </w14:solidFill>
                </w14:textFill>
              </w:rPr>
            </w:pPr>
          </w:p>
        </w:tc>
        <w:tc>
          <w:tcPr>
            <w:tcW w:w="4111" w:type="dxa"/>
            <w:vAlign w:val="center"/>
          </w:tcPr>
          <w:p>
            <w:pPr>
              <w:pStyle w:val="6"/>
              <w:adjustRightInd w:val="0"/>
              <w:snapToGrid w:val="0"/>
              <w:spacing w:after="0" w:line="360" w:lineRule="exact"/>
              <w:ind w:firstLine="0" w:firstLineChars="0"/>
              <w:rPr>
                <w:rFonts w:ascii="Times New Roman" w:hAnsi="Times New Roman"/>
                <w:color w:val="000000" w:themeColor="text1"/>
                <w:sz w:val="20"/>
                <w14:textFill>
                  <w14:solidFill>
                    <w14:schemeClr w14:val="tx1"/>
                  </w14:solidFill>
                </w14:textFill>
              </w:rPr>
            </w:pPr>
            <w:r>
              <w:rPr>
                <w:rFonts w:ascii="Times New Roman" w:hAnsi="Times New Roman"/>
                <w:color w:val="000000" w:themeColor="text1"/>
                <w:sz w:val="20"/>
                <w14:textFill>
                  <w14:solidFill>
                    <w14:schemeClr w14:val="tx1"/>
                  </w14:solidFill>
                </w14:textFill>
              </w:rPr>
              <w:t>A.在年度考核中，连续两年被确定为基本称职</w:t>
            </w:r>
          </w:p>
          <w:p>
            <w:pPr>
              <w:pStyle w:val="6"/>
              <w:adjustRightInd w:val="0"/>
              <w:snapToGrid w:val="0"/>
              <w:spacing w:after="0" w:line="360" w:lineRule="exact"/>
              <w:ind w:firstLine="0" w:firstLineChars="0"/>
              <w:rPr>
                <w:rFonts w:ascii="Times New Roman" w:hAnsi="Times New Roman"/>
                <w:color w:val="000000" w:themeColor="text1"/>
                <w:sz w:val="20"/>
                <w14:textFill>
                  <w14:solidFill>
                    <w14:schemeClr w14:val="tx1"/>
                  </w14:solidFill>
                </w14:textFill>
              </w:rPr>
            </w:pPr>
            <w:r>
              <w:rPr>
                <w:rFonts w:ascii="Times New Roman" w:hAnsi="Times New Roman"/>
                <w:color w:val="000000" w:themeColor="text1"/>
                <w:sz w:val="20"/>
                <w14:textFill>
                  <w14:solidFill>
                    <w14:schemeClr w14:val="tx1"/>
                  </w14:solidFill>
                </w14:textFill>
              </w:rPr>
              <w:t>B.被给予降级处分三次以上</w:t>
            </w:r>
          </w:p>
          <w:p>
            <w:pPr>
              <w:pStyle w:val="6"/>
              <w:adjustRightInd w:val="0"/>
              <w:snapToGrid w:val="0"/>
              <w:spacing w:after="0" w:line="360" w:lineRule="exact"/>
              <w:ind w:firstLine="0" w:firstLineChars="0"/>
              <w:rPr>
                <w:rFonts w:ascii="Times New Roman" w:hAnsi="Times New Roman"/>
                <w:color w:val="000000" w:themeColor="text1"/>
                <w:sz w:val="20"/>
                <w14:textFill>
                  <w14:solidFill>
                    <w14:schemeClr w14:val="tx1"/>
                  </w14:solidFill>
                </w14:textFill>
              </w:rPr>
            </w:pPr>
            <w:r>
              <w:rPr>
                <w:rFonts w:ascii="Times New Roman" w:hAnsi="Times New Roman"/>
                <w:color w:val="000000" w:themeColor="text1"/>
                <w:sz w:val="20"/>
                <w14:textFill>
                  <w14:solidFill>
                    <w14:schemeClr w14:val="tx1"/>
                  </w14:solidFill>
                </w14:textFill>
              </w:rPr>
              <w:t>C.因所在机关撤销需要调整工作，但本人拒绝合理安排</w:t>
            </w:r>
          </w:p>
          <w:p>
            <w:pPr>
              <w:spacing w:line="340" w:lineRule="exact"/>
              <w:rPr>
                <w:rFonts w:ascii="Times New Roman" w:hAnsi="Times New Roman"/>
                <w:caps/>
                <w:color w:val="000000" w:themeColor="text1"/>
                <w:sz w:val="20"/>
                <w:szCs w:val="20"/>
                <w14:textFill>
                  <w14:solidFill>
                    <w14:schemeClr w14:val="tx1"/>
                  </w14:solidFill>
                </w14:textFill>
              </w:rPr>
            </w:pPr>
            <w:r>
              <w:rPr>
                <w:rFonts w:ascii="Times New Roman" w:hAnsi="Times New Roman"/>
                <w:color w:val="000000" w:themeColor="text1"/>
                <w:sz w:val="20"/>
                <w:szCs w:val="20"/>
                <w14:textFill>
                  <w14:solidFill>
                    <w14:schemeClr w14:val="tx1"/>
                  </w14:solidFill>
                </w14:textFill>
              </w:rPr>
              <w:t>D.一年内旷工累计超过30天</w:t>
            </w:r>
          </w:p>
        </w:tc>
        <w:tc>
          <w:tcPr>
            <w:tcW w:w="1213" w:type="dxa"/>
            <w:vAlign w:val="center"/>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spacing w:after="31" w:afterLines="10" w:line="288" w:lineRule="auto"/>
              <w:rPr>
                <w:rFonts w:asci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根据《行政处罚法》的规定，规章可以设定的行政处罚种类包括（</w:t>
            </w:r>
            <w:r>
              <w:rPr>
                <w:rFonts w:ascii="宋体" w:hAnsi="宋体"/>
                <w:color w:val="000000" w:themeColor="text1"/>
                <w:sz w:val="20"/>
                <w:szCs w:val="20"/>
                <w14:textFill>
                  <w14:solidFill>
                    <w14:schemeClr w14:val="tx1"/>
                  </w14:solidFill>
                </w14:textFill>
              </w:rPr>
              <w:t xml:space="preserve">   </w:t>
            </w:r>
            <w:r>
              <w:rPr>
                <w:rFonts w:hint="eastAsia" w:ascii="宋体" w:hAnsi="宋体"/>
                <w:color w:val="000000" w:themeColor="text1"/>
                <w:sz w:val="20"/>
                <w:szCs w:val="20"/>
                <w14:textFill>
                  <w14:solidFill>
                    <w14:schemeClr w14:val="tx1"/>
                  </w14:solidFill>
                </w14:textFill>
              </w:rPr>
              <w:t>）。</w:t>
            </w:r>
          </w:p>
          <w:p>
            <w:pPr>
              <w:snapToGrid w:val="0"/>
              <w:spacing w:line="340" w:lineRule="exact"/>
              <w:rPr>
                <w:rFonts w:ascii="宋体"/>
                <w:color w:val="000000" w:themeColor="text1"/>
                <w:sz w:val="20"/>
                <w:szCs w:val="20"/>
                <w14:textFill>
                  <w14:solidFill>
                    <w14:schemeClr w14:val="tx1"/>
                  </w14:solidFill>
                </w14:textFill>
              </w:rPr>
            </w:pPr>
          </w:p>
        </w:tc>
        <w:tc>
          <w:tcPr>
            <w:tcW w:w="4111" w:type="dxa"/>
          </w:tcPr>
          <w:p>
            <w:pPr>
              <w:pStyle w:val="6"/>
              <w:numPr>
                <w:ilvl w:val="0"/>
                <w:numId w:val="40"/>
              </w:numPr>
              <w:adjustRightInd w:val="0"/>
              <w:snapToGrid w:val="0"/>
              <w:spacing w:after="0" w:line="360" w:lineRule="exact"/>
              <w:ind w:firstLine="0" w:firstLineChars="0"/>
              <w:rPr>
                <w:rFonts w:ascii="宋体" w:hAns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警告</w:t>
            </w:r>
            <w:r>
              <w:rPr>
                <w:rFonts w:ascii="宋体" w:hAnsi="宋体"/>
                <w:color w:val="000000" w:themeColor="text1"/>
                <w:kern w:val="2"/>
                <w:sz w:val="20"/>
                <w:szCs w:val="20"/>
                <w14:textFill>
                  <w14:solidFill>
                    <w14:schemeClr w14:val="tx1"/>
                  </w14:solidFill>
                </w14:textFill>
              </w:rPr>
              <w:t xml:space="preserve">   </w:t>
            </w:r>
          </w:p>
          <w:p>
            <w:pPr>
              <w:pStyle w:val="6"/>
              <w:numPr>
                <w:ilvl w:val="0"/>
                <w:numId w:val="40"/>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罚款</w:t>
            </w:r>
          </w:p>
          <w:p>
            <w:pPr>
              <w:pStyle w:val="6"/>
              <w:numPr>
                <w:ilvl w:val="0"/>
                <w:numId w:val="40"/>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行政拘留</w:t>
            </w:r>
          </w:p>
          <w:p>
            <w:pPr>
              <w:pStyle w:val="6"/>
              <w:numPr>
                <w:ilvl w:val="0"/>
                <w:numId w:val="40"/>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吊销企业营业执照</w:t>
            </w:r>
          </w:p>
        </w:tc>
        <w:tc>
          <w:tcPr>
            <w:tcW w:w="1213" w:type="dxa"/>
            <w:vAlign w:val="center"/>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A;B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关于抽象行政行为与具体行政行为的区别，下列说法正确的是（</w:t>
            </w:r>
            <w:r>
              <w:rPr>
                <w:rFonts w:ascii="宋体" w:hAnsi="宋体"/>
                <w:caps/>
                <w:color w:val="000000" w:themeColor="text1"/>
                <w:kern w:val="2"/>
                <w:sz w:val="20"/>
                <w:szCs w:val="20"/>
                <w14:textFill>
                  <w14:solidFill>
                    <w14:schemeClr w14:val="tx1"/>
                  </w14:solidFill>
                </w14:textFill>
              </w:rPr>
              <w:t xml:space="preserve">   </w:t>
            </w:r>
            <w:r>
              <w:rPr>
                <w:rFonts w:hint="eastAsia" w:ascii="宋体" w:hAnsi="宋体"/>
                <w:caps/>
                <w:color w:val="000000" w:themeColor="text1"/>
                <w:kern w:val="2"/>
                <w:sz w:val="20"/>
                <w:szCs w:val="20"/>
                <w14:textFill>
                  <w14:solidFill>
                    <w14:schemeClr w14:val="tx1"/>
                  </w14:solidFill>
                </w14:textFill>
              </w:rPr>
              <w:t>）。</w:t>
            </w:r>
          </w:p>
          <w:p>
            <w:pPr>
              <w:pStyle w:val="6"/>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p>
        </w:tc>
        <w:tc>
          <w:tcPr>
            <w:tcW w:w="4111" w:type="dxa"/>
          </w:tcPr>
          <w:p>
            <w:pPr>
              <w:pStyle w:val="6"/>
              <w:numPr>
                <w:ilvl w:val="0"/>
                <w:numId w:val="41"/>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抽象行政行为一般针对不特定的人，而具体行政行为则针对特定的行政相对人</w:t>
            </w:r>
          </w:p>
          <w:p>
            <w:pPr>
              <w:pStyle w:val="6"/>
              <w:numPr>
                <w:ilvl w:val="0"/>
                <w:numId w:val="41"/>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抽象行政行为针对未来发生的事，而具体行政行为都是针对已经发生的事</w:t>
            </w:r>
          </w:p>
          <w:p>
            <w:pPr>
              <w:pStyle w:val="6"/>
              <w:numPr>
                <w:ilvl w:val="0"/>
                <w:numId w:val="41"/>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抽象行政行为具有反复适用的特点，而具体行政行为的适用效力通常是一次性的</w:t>
            </w:r>
          </w:p>
          <w:p>
            <w:pPr>
              <w:pStyle w:val="6"/>
              <w:numPr>
                <w:ilvl w:val="0"/>
                <w:numId w:val="41"/>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抽象行政行为一般表现为制定行政规范性文件，而具体行政行为不能以制定行政规范性文件的方式作出</w:t>
            </w:r>
          </w:p>
        </w:tc>
        <w:tc>
          <w:tcPr>
            <w:tcW w:w="1213" w:type="dxa"/>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A;C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snapToGrid w:val="0"/>
              <w:spacing w:line="340" w:lineRule="exact"/>
              <w:rPr>
                <w:rFonts w:ascii="Times New Roman" w:hAnsi="Times New Roman"/>
                <w:color w:val="000000" w:themeColor="text1"/>
                <w:sz w:val="20"/>
                <w:szCs w:val="20"/>
                <w14:textFill>
                  <w14:solidFill>
                    <w14:schemeClr w14:val="tx1"/>
                  </w14:solidFill>
                </w14:textFill>
              </w:rPr>
            </w:pPr>
            <w:r>
              <w:rPr>
                <w:rFonts w:ascii="Times New Roman" w:hAnsi="Times New Roman"/>
                <w:color w:val="000000" w:themeColor="text1"/>
                <w:sz w:val="20"/>
                <w:szCs w:val="20"/>
                <w14:textFill>
                  <w14:solidFill>
                    <w14:schemeClr w14:val="tx1"/>
                  </w14:solidFill>
                </w14:textFill>
              </w:rPr>
              <w:t>关于行政法的渊源，下列说法正确的是（   ）。</w:t>
            </w:r>
          </w:p>
          <w:p>
            <w:pPr>
              <w:snapToGrid w:val="0"/>
              <w:spacing w:line="340" w:lineRule="exact"/>
              <w:rPr>
                <w:rFonts w:ascii="Times New Roman" w:hAnsi="Times New Roman"/>
                <w:color w:val="000000" w:themeColor="text1"/>
                <w14:textFill>
                  <w14:solidFill>
                    <w14:schemeClr w14:val="tx1"/>
                  </w14:solidFill>
                </w14:textFill>
              </w:rPr>
            </w:pPr>
          </w:p>
        </w:tc>
        <w:tc>
          <w:tcPr>
            <w:tcW w:w="4111" w:type="dxa"/>
            <w:vAlign w:val="center"/>
          </w:tcPr>
          <w:p>
            <w:pPr>
              <w:pStyle w:val="6"/>
              <w:adjustRightInd w:val="0"/>
              <w:snapToGrid w:val="0"/>
              <w:spacing w:after="0" w:line="360" w:lineRule="exact"/>
              <w:ind w:firstLine="0" w:firstLineChars="0"/>
              <w:rPr>
                <w:rFonts w:ascii="Times New Roman" w:hAnsi="Times New Roman"/>
                <w:color w:val="000000" w:themeColor="text1"/>
                <w:sz w:val="20"/>
                <w14:textFill>
                  <w14:solidFill>
                    <w14:schemeClr w14:val="tx1"/>
                  </w14:solidFill>
                </w14:textFill>
              </w:rPr>
            </w:pPr>
            <w:r>
              <w:rPr>
                <w:rFonts w:ascii="Times New Roman" w:hAnsi="Times New Roman"/>
                <w:color w:val="000000" w:themeColor="text1"/>
                <w:sz w:val="20"/>
                <w14:textFill>
                  <w14:solidFill>
                    <w14:schemeClr w14:val="tx1"/>
                  </w14:solidFill>
                </w14:textFill>
              </w:rPr>
              <w:t>A.行政法的渊源是行政法的外部表现形式</w:t>
            </w:r>
          </w:p>
          <w:p>
            <w:pPr>
              <w:pStyle w:val="6"/>
              <w:adjustRightInd w:val="0"/>
              <w:snapToGrid w:val="0"/>
              <w:spacing w:after="0" w:line="360" w:lineRule="exact"/>
              <w:ind w:firstLine="0" w:firstLineChars="0"/>
              <w:rPr>
                <w:rFonts w:ascii="Times New Roman" w:hAnsi="Times New Roman"/>
                <w:color w:val="000000" w:themeColor="text1"/>
                <w:sz w:val="20"/>
                <w14:textFill>
                  <w14:solidFill>
                    <w14:schemeClr w14:val="tx1"/>
                  </w14:solidFill>
                </w14:textFill>
              </w:rPr>
            </w:pPr>
            <w:r>
              <w:rPr>
                <w:rFonts w:ascii="Times New Roman" w:hAnsi="Times New Roman"/>
                <w:color w:val="000000" w:themeColor="text1"/>
                <w:sz w:val="20"/>
                <w14:textFill>
                  <w14:solidFill>
                    <w14:schemeClr w14:val="tx1"/>
                  </w14:solidFill>
                </w14:textFill>
              </w:rPr>
              <w:t>B.内蒙古自治区人大制定的单行条例属于行政法的渊源</w:t>
            </w:r>
          </w:p>
          <w:p>
            <w:pPr>
              <w:pStyle w:val="6"/>
              <w:adjustRightInd w:val="0"/>
              <w:snapToGrid w:val="0"/>
              <w:spacing w:after="0" w:line="360" w:lineRule="exact"/>
              <w:ind w:firstLine="0" w:firstLineChars="0"/>
              <w:rPr>
                <w:rFonts w:ascii="Times New Roman" w:hAnsi="Times New Roman"/>
                <w:color w:val="000000" w:themeColor="text1"/>
                <w:sz w:val="20"/>
                <w14:textFill>
                  <w14:solidFill>
                    <w14:schemeClr w14:val="tx1"/>
                  </w14:solidFill>
                </w14:textFill>
              </w:rPr>
            </w:pPr>
            <w:r>
              <w:rPr>
                <w:rFonts w:ascii="Times New Roman" w:hAnsi="Times New Roman"/>
                <w:color w:val="000000" w:themeColor="text1"/>
                <w:sz w:val="20"/>
                <w14:textFill>
                  <w14:solidFill>
                    <w14:schemeClr w14:val="tx1"/>
                  </w14:solidFill>
                </w14:textFill>
              </w:rPr>
              <w:t>C.某乡政府发布的决定属于行政法的渊源</w:t>
            </w:r>
          </w:p>
          <w:p>
            <w:pPr>
              <w:spacing w:line="340" w:lineRule="exact"/>
              <w:rPr>
                <w:rFonts w:ascii="Times New Roman" w:hAnsi="Times New Roman"/>
                <w:caps/>
                <w:color w:val="000000" w:themeColor="text1"/>
                <w:sz w:val="20"/>
                <w:szCs w:val="20"/>
                <w14:textFill>
                  <w14:solidFill>
                    <w14:schemeClr w14:val="tx1"/>
                  </w14:solidFill>
                </w14:textFill>
              </w:rPr>
            </w:pPr>
            <w:r>
              <w:rPr>
                <w:rFonts w:ascii="Times New Roman" w:hAnsi="Times New Roman"/>
                <w:color w:val="000000" w:themeColor="text1"/>
                <w:sz w:val="20"/>
                <w:szCs w:val="20"/>
                <w14:textFill>
                  <w14:solidFill>
                    <w14:schemeClr w14:val="tx1"/>
                  </w14:solidFill>
                </w14:textFill>
              </w:rPr>
              <w:t>D.在法律效力位阶上，行政法规的效力高于地方性法规</w:t>
            </w:r>
          </w:p>
        </w:tc>
        <w:tc>
          <w:tcPr>
            <w:tcW w:w="1213" w:type="dxa"/>
            <w:vAlign w:val="center"/>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A;B;d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关于行政立法，下列说法正确的是（</w:t>
            </w:r>
            <w:r>
              <w:rPr>
                <w:rFonts w:ascii="宋体" w:hAnsi="宋体"/>
                <w:caps/>
                <w:color w:val="000000" w:themeColor="text1"/>
                <w:kern w:val="2"/>
                <w:sz w:val="20"/>
                <w:szCs w:val="20"/>
                <w14:textFill>
                  <w14:solidFill>
                    <w14:schemeClr w14:val="tx1"/>
                  </w14:solidFill>
                </w14:textFill>
              </w:rPr>
              <w:t xml:space="preserve">   </w:t>
            </w:r>
            <w:r>
              <w:rPr>
                <w:rFonts w:hint="eastAsia" w:ascii="宋体" w:hAnsi="宋体"/>
                <w:caps/>
                <w:color w:val="000000" w:themeColor="text1"/>
                <w:kern w:val="2"/>
                <w:sz w:val="20"/>
                <w:szCs w:val="20"/>
                <w14:textFill>
                  <w14:solidFill>
                    <w14:schemeClr w14:val="tx1"/>
                  </w14:solidFill>
                </w14:textFill>
              </w:rPr>
              <w:t>）。</w:t>
            </w:r>
          </w:p>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p>
        </w:tc>
        <w:tc>
          <w:tcPr>
            <w:tcW w:w="4111" w:type="dxa"/>
          </w:tcPr>
          <w:p>
            <w:pPr>
              <w:pStyle w:val="6"/>
              <w:numPr>
                <w:ilvl w:val="0"/>
                <w:numId w:val="42"/>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行政立法虽然具有“准立法”的形式特征，但本质上是行政行为</w:t>
            </w:r>
          </w:p>
          <w:p>
            <w:pPr>
              <w:pStyle w:val="6"/>
              <w:numPr>
                <w:ilvl w:val="0"/>
                <w:numId w:val="42"/>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乡镇人民政府制定规范性文件的行为不属于行政立法行为</w:t>
            </w:r>
          </w:p>
          <w:p>
            <w:pPr>
              <w:pStyle w:val="6"/>
              <w:numPr>
                <w:ilvl w:val="0"/>
                <w:numId w:val="42"/>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所有行政立法处于同一位阶</w:t>
            </w:r>
          </w:p>
          <w:p>
            <w:pPr>
              <w:pStyle w:val="6"/>
              <w:numPr>
                <w:ilvl w:val="0"/>
                <w:numId w:val="42"/>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上级行政机关对下级行政机关行政立法的监督既包括合法性监督，也包括合理性监督</w:t>
            </w:r>
          </w:p>
        </w:tc>
        <w:tc>
          <w:tcPr>
            <w:tcW w:w="1213" w:type="dxa"/>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A;D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关于派出机关与派出机构，下列说法正确的是（</w:t>
            </w:r>
            <w:r>
              <w:rPr>
                <w:rFonts w:ascii="宋体" w:hAnsi="宋体"/>
                <w:caps/>
                <w:color w:val="000000" w:themeColor="text1"/>
                <w:kern w:val="2"/>
                <w:sz w:val="20"/>
                <w:szCs w:val="20"/>
                <w14:textFill>
                  <w14:solidFill>
                    <w14:schemeClr w14:val="tx1"/>
                  </w14:solidFill>
                </w14:textFill>
              </w:rPr>
              <w:t xml:space="preserve">   </w:t>
            </w:r>
            <w:r>
              <w:rPr>
                <w:rFonts w:hint="eastAsia" w:ascii="宋体" w:hAnsi="宋体"/>
                <w:caps/>
                <w:color w:val="000000" w:themeColor="text1"/>
                <w:kern w:val="2"/>
                <w:sz w:val="20"/>
                <w:szCs w:val="20"/>
                <w14:textFill>
                  <w14:solidFill>
                    <w14:schemeClr w14:val="tx1"/>
                  </w14:solidFill>
                </w14:textFill>
              </w:rPr>
              <w:t>）。</w:t>
            </w:r>
          </w:p>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p>
        </w:tc>
        <w:tc>
          <w:tcPr>
            <w:tcW w:w="4111" w:type="dxa"/>
          </w:tcPr>
          <w:p>
            <w:pPr>
              <w:pStyle w:val="6"/>
              <w:numPr>
                <w:ilvl w:val="0"/>
                <w:numId w:val="43"/>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区公所属于派出机关，公安派出所属于派出机构</w:t>
            </w:r>
          </w:p>
          <w:p>
            <w:pPr>
              <w:pStyle w:val="6"/>
              <w:numPr>
                <w:ilvl w:val="0"/>
                <w:numId w:val="43"/>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派出机关是由地方人民政府设立的国家行政机关，在行使职权时应该得到设立它的人民政府的许可</w:t>
            </w:r>
          </w:p>
          <w:p>
            <w:pPr>
              <w:pStyle w:val="6"/>
              <w:numPr>
                <w:ilvl w:val="0"/>
                <w:numId w:val="43"/>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派出机构是政府职能部门根据需要在一定区域设置的工作机构，一般不具有行政主体资格</w:t>
            </w:r>
          </w:p>
          <w:p>
            <w:pPr>
              <w:pStyle w:val="6"/>
              <w:numPr>
                <w:ilvl w:val="0"/>
                <w:numId w:val="43"/>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派出机构获得法律、法规授权的，在一定权限内也具备行政主体资格</w:t>
            </w:r>
          </w:p>
        </w:tc>
        <w:tc>
          <w:tcPr>
            <w:tcW w:w="1213" w:type="dxa"/>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A;C;D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行政机关作出的下列行为，属于行政许可的是（</w:t>
            </w:r>
            <w:r>
              <w:rPr>
                <w:rFonts w:ascii="宋体" w:hAnsi="宋体"/>
                <w:caps/>
                <w:color w:val="000000" w:themeColor="text1"/>
                <w:kern w:val="2"/>
                <w:sz w:val="20"/>
                <w:szCs w:val="20"/>
                <w14:textFill>
                  <w14:solidFill>
                    <w14:schemeClr w14:val="tx1"/>
                  </w14:solidFill>
                </w14:textFill>
              </w:rPr>
              <w:t xml:space="preserve">   </w:t>
            </w:r>
            <w:r>
              <w:rPr>
                <w:rFonts w:hint="eastAsia" w:ascii="宋体" w:hAnsi="宋体"/>
                <w:caps/>
                <w:color w:val="000000" w:themeColor="text1"/>
                <w:kern w:val="2"/>
                <w:sz w:val="20"/>
                <w:szCs w:val="20"/>
                <w14:textFill>
                  <w14:solidFill>
                    <w14:schemeClr w14:val="tx1"/>
                  </w14:solidFill>
                </w14:textFill>
              </w:rPr>
              <w:t>）。</w:t>
            </w:r>
          </w:p>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p>
        </w:tc>
        <w:tc>
          <w:tcPr>
            <w:tcW w:w="4111" w:type="dxa"/>
          </w:tcPr>
          <w:p>
            <w:pPr>
              <w:pStyle w:val="6"/>
              <w:numPr>
                <w:ilvl w:val="0"/>
                <w:numId w:val="44"/>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颁发营业执照</w:t>
            </w:r>
          </w:p>
          <w:p>
            <w:pPr>
              <w:pStyle w:val="6"/>
              <w:numPr>
                <w:ilvl w:val="0"/>
                <w:numId w:val="44"/>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授予法律职业资格证书</w:t>
            </w:r>
          </w:p>
          <w:p>
            <w:pPr>
              <w:pStyle w:val="6"/>
              <w:numPr>
                <w:ilvl w:val="0"/>
                <w:numId w:val="44"/>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办理户口登记</w:t>
            </w:r>
          </w:p>
          <w:p>
            <w:pPr>
              <w:pStyle w:val="6"/>
              <w:numPr>
                <w:ilvl w:val="0"/>
                <w:numId w:val="44"/>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发放文物出口许可凭证</w:t>
            </w:r>
          </w:p>
        </w:tc>
        <w:tc>
          <w:tcPr>
            <w:tcW w:w="1213" w:type="dxa"/>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A;B;d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snapToGrid w:val="0"/>
              <w:spacing w:line="340" w:lineRule="exact"/>
              <w:rPr>
                <w:rFonts w:ascii="Times New Roman" w:hAnsi="Times New Roman"/>
                <w:color w:val="000000" w:themeColor="text1"/>
                <w:sz w:val="20"/>
                <w:szCs w:val="20"/>
                <w14:textFill>
                  <w14:solidFill>
                    <w14:schemeClr w14:val="tx1"/>
                  </w14:solidFill>
                </w14:textFill>
              </w:rPr>
            </w:pPr>
            <w:r>
              <w:rPr>
                <w:rFonts w:ascii="Times New Roman" w:hAnsi="Times New Roman"/>
                <w:color w:val="000000" w:themeColor="text1"/>
                <w:sz w:val="20"/>
                <w:szCs w:val="20"/>
                <w14:textFill>
                  <w14:solidFill>
                    <w14:schemeClr w14:val="tx1"/>
                  </w14:solidFill>
                </w14:textFill>
              </w:rPr>
              <w:t>某省乙市人民政府为改造旧城建设，成立一公司负责旧房拆除。林某因与该公司达不成协议而拒不搬迁，乙市人民政府决定对林某的住房进行强制拆迁。林某对强制拆迁行为不服，向乙市第一中级人民法院提起行政诉讼。对此，下列说法正确的是（   ）。</w:t>
            </w:r>
          </w:p>
          <w:p>
            <w:pPr>
              <w:snapToGrid w:val="0"/>
              <w:spacing w:line="340" w:lineRule="exact"/>
              <w:rPr>
                <w:rFonts w:ascii="Times New Roman" w:hAnsi="Times New Roman"/>
                <w:color w:val="000000" w:themeColor="text1"/>
                <w14:textFill>
                  <w14:solidFill>
                    <w14:schemeClr w14:val="tx1"/>
                  </w14:solidFill>
                </w14:textFill>
              </w:rPr>
            </w:pPr>
          </w:p>
        </w:tc>
        <w:tc>
          <w:tcPr>
            <w:tcW w:w="4111" w:type="dxa"/>
            <w:vAlign w:val="center"/>
          </w:tcPr>
          <w:p>
            <w:pPr>
              <w:pStyle w:val="6"/>
              <w:adjustRightInd w:val="0"/>
              <w:snapToGrid w:val="0"/>
              <w:spacing w:after="0" w:line="360" w:lineRule="exact"/>
              <w:ind w:firstLine="0" w:firstLineChars="0"/>
              <w:rPr>
                <w:rFonts w:ascii="Times New Roman" w:hAnsi="Times New Roman"/>
                <w:color w:val="000000" w:themeColor="text1"/>
                <w:sz w:val="20"/>
                <w14:textFill>
                  <w14:solidFill>
                    <w14:schemeClr w14:val="tx1"/>
                  </w14:solidFill>
                </w14:textFill>
              </w:rPr>
            </w:pPr>
            <w:r>
              <w:rPr>
                <w:rFonts w:ascii="Times New Roman" w:hAnsi="Times New Roman"/>
                <w:color w:val="000000" w:themeColor="text1"/>
                <w:sz w:val="20"/>
                <w14:textFill>
                  <w14:solidFill>
                    <w14:schemeClr w14:val="tx1"/>
                  </w14:solidFill>
                </w14:textFill>
              </w:rPr>
              <w:t>A.林某应当自知道或者应当知道乙市人民政府作出该行政行为之日起6个月内提起行政诉讼</w:t>
            </w:r>
          </w:p>
          <w:p>
            <w:pPr>
              <w:pStyle w:val="6"/>
              <w:adjustRightInd w:val="0"/>
              <w:snapToGrid w:val="0"/>
              <w:spacing w:after="0" w:line="360" w:lineRule="exact"/>
              <w:ind w:firstLine="0" w:firstLineChars="0"/>
              <w:rPr>
                <w:rFonts w:ascii="Times New Roman" w:hAnsi="Times New Roman"/>
                <w:color w:val="000000" w:themeColor="text1"/>
                <w:sz w:val="20"/>
                <w14:textFill>
                  <w14:solidFill>
                    <w14:schemeClr w14:val="tx1"/>
                  </w14:solidFill>
                </w14:textFill>
              </w:rPr>
            </w:pPr>
            <w:r>
              <w:rPr>
                <w:rFonts w:ascii="Times New Roman" w:hAnsi="Times New Roman"/>
                <w:color w:val="000000" w:themeColor="text1"/>
                <w:sz w:val="20"/>
                <w14:textFill>
                  <w14:solidFill>
                    <w14:schemeClr w14:val="tx1"/>
                  </w14:solidFill>
                </w14:textFill>
              </w:rPr>
              <w:t>B.若乙市第一中级人民法院裁定不予立案，林某对裁定不服，可以向省高级人民法院提起上诉</w:t>
            </w:r>
          </w:p>
          <w:p>
            <w:pPr>
              <w:pStyle w:val="6"/>
              <w:adjustRightInd w:val="0"/>
              <w:snapToGrid w:val="0"/>
              <w:spacing w:after="0" w:line="360" w:lineRule="exact"/>
              <w:ind w:firstLine="0" w:firstLineChars="0"/>
              <w:rPr>
                <w:rFonts w:ascii="Times New Roman" w:hAnsi="Times New Roman"/>
                <w:color w:val="000000" w:themeColor="text1"/>
                <w:sz w:val="20"/>
                <w14:textFill>
                  <w14:solidFill>
                    <w14:schemeClr w14:val="tx1"/>
                  </w14:solidFill>
                </w14:textFill>
              </w:rPr>
            </w:pPr>
            <w:r>
              <w:rPr>
                <w:rFonts w:ascii="Times New Roman" w:hAnsi="Times New Roman"/>
                <w:color w:val="000000" w:themeColor="text1"/>
                <w:sz w:val="20"/>
                <w14:textFill>
                  <w14:solidFill>
                    <w14:schemeClr w14:val="tx1"/>
                  </w14:solidFill>
                </w14:textFill>
              </w:rPr>
              <w:t>C.若乙市第一中级人民法院受理案件后发现该案不属于其管辖范围，可以将案件移送给有管辖权的人民法院管辖</w:t>
            </w:r>
          </w:p>
          <w:p>
            <w:pPr>
              <w:spacing w:line="340" w:lineRule="exact"/>
              <w:rPr>
                <w:rFonts w:ascii="Times New Roman" w:hAnsi="Times New Roman"/>
                <w:caps/>
                <w:color w:val="000000" w:themeColor="text1"/>
                <w:sz w:val="20"/>
                <w:szCs w:val="20"/>
                <w14:textFill>
                  <w14:solidFill>
                    <w14:schemeClr w14:val="tx1"/>
                  </w14:solidFill>
                </w14:textFill>
              </w:rPr>
            </w:pPr>
            <w:r>
              <w:rPr>
                <w:rFonts w:ascii="Times New Roman" w:hAnsi="Times New Roman"/>
                <w:color w:val="000000" w:themeColor="text1"/>
                <w:sz w:val="20"/>
                <w:szCs w:val="20"/>
                <w14:textFill>
                  <w14:solidFill>
                    <w14:schemeClr w14:val="tx1"/>
                  </w14:solidFill>
                </w14:textFill>
              </w:rPr>
              <w:t>D.若乙市第一中级人民法院对案件具有管辖权，一般应在立案之日起3个月内作出第一审判决</w:t>
            </w:r>
          </w:p>
        </w:tc>
        <w:tc>
          <w:tcPr>
            <w:tcW w:w="1213" w:type="dxa"/>
            <w:vAlign w:val="center"/>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A;B;C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snapToGrid w:val="0"/>
              <w:spacing w:line="340" w:lineRule="exact"/>
              <w:rPr>
                <w:rFonts w:ascii="Times New Roman" w:hAnsi="Times New Roman"/>
                <w:color w:val="000000" w:themeColor="text1"/>
                <w:sz w:val="20"/>
                <w:szCs w:val="20"/>
                <w14:textFill>
                  <w14:solidFill>
                    <w14:schemeClr w14:val="tx1"/>
                  </w14:solidFill>
                </w14:textFill>
              </w:rPr>
            </w:pPr>
            <w:r>
              <w:rPr>
                <w:rFonts w:ascii="Times New Roman" w:hAnsi="Times New Roman"/>
                <w:color w:val="000000" w:themeColor="text1"/>
                <w:sz w:val="20"/>
                <w:szCs w:val="20"/>
                <w14:textFill>
                  <w14:solidFill>
                    <w14:schemeClr w14:val="tx1"/>
                  </w14:solidFill>
                </w14:textFill>
              </w:rPr>
              <w:t>某县公安局执法人员在未出示证件也未表明身份的情况下扣押了张某的电动自行车。根据行政行为理论，县公安局的行为属于（   ）。</w:t>
            </w:r>
          </w:p>
          <w:p>
            <w:pPr>
              <w:snapToGrid w:val="0"/>
              <w:spacing w:line="340" w:lineRule="exact"/>
              <w:rPr>
                <w:rFonts w:ascii="Times New Roman" w:hAnsi="Times New Roman"/>
                <w:color w:val="000000" w:themeColor="text1"/>
                <w:sz w:val="20"/>
                <w:szCs w:val="20"/>
                <w14:textFill>
                  <w14:solidFill>
                    <w14:schemeClr w14:val="tx1"/>
                  </w14:solidFill>
                </w14:textFill>
              </w:rPr>
            </w:pPr>
          </w:p>
        </w:tc>
        <w:tc>
          <w:tcPr>
            <w:tcW w:w="4111" w:type="dxa"/>
            <w:vAlign w:val="center"/>
          </w:tcPr>
          <w:p>
            <w:pPr>
              <w:pStyle w:val="6"/>
              <w:adjustRightInd w:val="0"/>
              <w:snapToGrid w:val="0"/>
              <w:spacing w:after="0" w:line="360" w:lineRule="exact"/>
              <w:ind w:firstLine="0" w:firstLineChars="0"/>
              <w:rPr>
                <w:rFonts w:ascii="Times New Roman" w:hAnsi="Times New Roman"/>
                <w:color w:val="000000" w:themeColor="text1"/>
                <w:sz w:val="20"/>
                <w14:textFill>
                  <w14:solidFill>
                    <w14:schemeClr w14:val="tx1"/>
                  </w14:solidFill>
                </w14:textFill>
              </w:rPr>
            </w:pPr>
            <w:r>
              <w:rPr>
                <w:rFonts w:ascii="Times New Roman" w:hAnsi="Times New Roman"/>
                <w:color w:val="000000" w:themeColor="text1"/>
                <w:sz w:val="20"/>
                <w14:textFill>
                  <w14:solidFill>
                    <w14:schemeClr w14:val="tx1"/>
                  </w14:solidFill>
                </w14:textFill>
              </w:rPr>
              <w:t>A.具体行政行为</w:t>
            </w:r>
          </w:p>
          <w:p>
            <w:pPr>
              <w:pStyle w:val="6"/>
              <w:adjustRightInd w:val="0"/>
              <w:snapToGrid w:val="0"/>
              <w:spacing w:after="0" w:line="360" w:lineRule="exact"/>
              <w:ind w:firstLine="0" w:firstLineChars="0"/>
              <w:rPr>
                <w:rFonts w:ascii="Times New Roman" w:hAnsi="Times New Roman"/>
                <w:color w:val="000000" w:themeColor="text1"/>
                <w:sz w:val="20"/>
                <w14:textFill>
                  <w14:solidFill>
                    <w14:schemeClr w14:val="tx1"/>
                  </w14:solidFill>
                </w14:textFill>
              </w:rPr>
            </w:pPr>
            <w:r>
              <w:rPr>
                <w:rFonts w:ascii="Times New Roman" w:hAnsi="Times New Roman"/>
                <w:color w:val="000000" w:themeColor="text1"/>
                <w:sz w:val="20"/>
                <w14:textFill>
                  <w14:solidFill>
                    <w14:schemeClr w14:val="tx1"/>
                  </w14:solidFill>
                </w14:textFill>
              </w:rPr>
              <w:t>B.抽象行政行为</w:t>
            </w:r>
          </w:p>
          <w:p>
            <w:pPr>
              <w:pStyle w:val="6"/>
              <w:adjustRightInd w:val="0"/>
              <w:snapToGrid w:val="0"/>
              <w:spacing w:after="0" w:line="360" w:lineRule="exact"/>
              <w:ind w:firstLine="0" w:firstLineChars="0"/>
              <w:rPr>
                <w:rFonts w:ascii="Times New Roman" w:hAnsi="Times New Roman"/>
                <w:color w:val="000000" w:themeColor="text1"/>
                <w:sz w:val="20"/>
                <w14:textFill>
                  <w14:solidFill>
                    <w14:schemeClr w14:val="tx1"/>
                  </w14:solidFill>
                </w14:textFill>
              </w:rPr>
            </w:pPr>
            <w:r>
              <w:rPr>
                <w:rFonts w:ascii="Times New Roman" w:hAnsi="Times New Roman"/>
                <w:color w:val="000000" w:themeColor="text1"/>
                <w:sz w:val="20"/>
                <w14:textFill>
                  <w14:solidFill>
                    <w14:schemeClr w14:val="tx1"/>
                  </w14:solidFill>
                </w14:textFill>
              </w:rPr>
              <w:t>C.无效行政行为</w:t>
            </w:r>
          </w:p>
          <w:p>
            <w:pPr>
              <w:spacing w:line="340" w:lineRule="exact"/>
              <w:rPr>
                <w:rFonts w:ascii="Times New Roman" w:hAnsi="Times New Roman"/>
                <w:caps/>
                <w:color w:val="000000" w:themeColor="text1"/>
                <w:sz w:val="20"/>
                <w:szCs w:val="20"/>
                <w14:textFill>
                  <w14:solidFill>
                    <w14:schemeClr w14:val="tx1"/>
                  </w14:solidFill>
                </w14:textFill>
              </w:rPr>
            </w:pPr>
            <w:r>
              <w:rPr>
                <w:rFonts w:ascii="Times New Roman" w:hAnsi="Times New Roman"/>
                <w:color w:val="000000" w:themeColor="text1"/>
                <w:sz w:val="20"/>
                <w:szCs w:val="20"/>
                <w14:textFill>
                  <w14:solidFill>
                    <w14:schemeClr w14:val="tx1"/>
                  </w14:solidFill>
                </w14:textFill>
              </w:rPr>
              <w:t>D.可撤销的行政行为</w:t>
            </w:r>
          </w:p>
        </w:tc>
        <w:tc>
          <w:tcPr>
            <w:tcW w:w="1213" w:type="dxa"/>
            <w:vAlign w:val="center"/>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olor w:val="000000" w:themeColor="text1"/>
                <w:sz w:val="20"/>
                <w:szCs w:val="20"/>
                <w14:textFill>
                  <w14:solidFill>
                    <w14:schemeClr w14:val="tx1"/>
                  </w14:solidFill>
                </w14:textFill>
              </w:rPr>
              <w:t>A;C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snapToGrid w:val="0"/>
              <w:spacing w:line="340" w:lineRule="exact"/>
              <w:rPr>
                <w:rFonts w:asci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天龙游乐开发投资公司拟兴建大型主题乐园项目，向市规划和自然资源局申请办理建设工程规划许可证，并提交了相关材料。附近居民提出，该主题乐园距离居民区太近，会带来严重的噪音污染，要求市规划和自然资源局不予批准。对此，下列说法错误的是（</w:t>
            </w:r>
            <w:r>
              <w:rPr>
                <w:rFonts w:ascii="宋体" w:hAnsi="宋体"/>
                <w:color w:val="000000" w:themeColor="text1"/>
                <w:sz w:val="20"/>
                <w:szCs w:val="20"/>
                <w14:textFill>
                  <w14:solidFill>
                    <w14:schemeClr w14:val="tx1"/>
                  </w14:solidFill>
                </w14:textFill>
              </w:rPr>
              <w:t xml:space="preserve">   </w:t>
            </w:r>
            <w:r>
              <w:rPr>
                <w:rFonts w:hint="eastAsia" w:ascii="宋体" w:hAnsi="宋体"/>
                <w:color w:val="000000" w:themeColor="text1"/>
                <w:sz w:val="20"/>
                <w:szCs w:val="20"/>
                <w14:textFill>
                  <w14:solidFill>
                    <w14:schemeClr w14:val="tx1"/>
                  </w14:solidFill>
                </w14:textFill>
              </w:rPr>
              <w:t>）。</w:t>
            </w:r>
          </w:p>
        </w:tc>
        <w:tc>
          <w:tcPr>
            <w:tcW w:w="4111" w:type="dxa"/>
          </w:tcPr>
          <w:p>
            <w:pPr>
              <w:pStyle w:val="6"/>
              <w:numPr>
                <w:ilvl w:val="0"/>
                <w:numId w:val="45"/>
              </w:numPr>
              <w:adjustRightInd w:val="0"/>
              <w:snapToGrid w:val="0"/>
              <w:spacing w:after="0" w:line="360" w:lineRule="exact"/>
              <w:ind w:firstLine="0" w:firstLineChars="0"/>
              <w:rPr>
                <w:rFonts w:asci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天龙公司须到市规划和自然资源局办公场所提出许可申请</w:t>
            </w:r>
          </w:p>
          <w:p>
            <w:pPr>
              <w:pStyle w:val="6"/>
              <w:numPr>
                <w:ilvl w:val="0"/>
                <w:numId w:val="45"/>
              </w:numPr>
              <w:adjustRightInd w:val="0"/>
              <w:snapToGrid w:val="0"/>
              <w:spacing w:after="0" w:line="360" w:lineRule="exact"/>
              <w:ind w:firstLine="0" w:firstLineChars="0"/>
              <w:rPr>
                <w:rFonts w:asci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天龙公司的申请材料不齐全的，市规划和自然资源局应当作出不受理决定</w:t>
            </w:r>
          </w:p>
          <w:p>
            <w:pPr>
              <w:pStyle w:val="6"/>
              <w:numPr>
                <w:ilvl w:val="0"/>
                <w:numId w:val="45"/>
              </w:numPr>
              <w:adjustRightInd w:val="0"/>
              <w:snapToGrid w:val="0"/>
              <w:spacing w:after="0" w:line="360" w:lineRule="exact"/>
              <w:ind w:firstLine="0" w:firstLineChars="0"/>
              <w:rPr>
                <w:rFonts w:asci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如附近居民提出听证申请，市规划和自然资源局应当在</w:t>
            </w:r>
            <w:r>
              <w:rPr>
                <w:rFonts w:ascii="宋体" w:hAnsi="宋体"/>
                <w:color w:val="000000" w:themeColor="text1"/>
                <w:sz w:val="20"/>
                <w14:textFill>
                  <w14:solidFill>
                    <w14:schemeClr w14:val="tx1"/>
                  </w14:solidFill>
                </w14:textFill>
              </w:rPr>
              <w:t>20</w:t>
            </w:r>
            <w:r>
              <w:rPr>
                <w:rFonts w:hint="eastAsia" w:ascii="宋体" w:hAnsi="宋体"/>
                <w:color w:val="000000" w:themeColor="text1"/>
                <w:sz w:val="20"/>
                <w14:textFill>
                  <w14:solidFill>
                    <w14:schemeClr w14:val="tx1"/>
                  </w14:solidFill>
                </w14:textFill>
              </w:rPr>
              <w:t>日内组织听证</w:t>
            </w:r>
          </w:p>
          <w:p>
            <w:pPr>
              <w:pStyle w:val="6"/>
              <w:numPr>
                <w:ilvl w:val="0"/>
                <w:numId w:val="45"/>
              </w:numPr>
              <w:adjustRightInd w:val="0"/>
              <w:snapToGrid w:val="0"/>
              <w:spacing w:after="0" w:line="360" w:lineRule="exact"/>
              <w:ind w:firstLine="0" w:firstLineChars="0"/>
              <w:rPr>
                <w:rFonts w:asci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如市规划和自然资源局拒绝天龙公司申请，须作出不予许可的书面决定，并向社会公开</w:t>
            </w:r>
          </w:p>
        </w:tc>
        <w:tc>
          <w:tcPr>
            <w:tcW w:w="1213" w:type="dxa"/>
            <w:vAlign w:val="center"/>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A;B;D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下列法律、法规中，不属于行政组织法的是（</w:t>
            </w:r>
            <w:r>
              <w:rPr>
                <w:rFonts w:ascii="宋体" w:hAnsi="宋体"/>
                <w:caps/>
                <w:color w:val="000000" w:themeColor="text1"/>
                <w:kern w:val="2"/>
                <w:sz w:val="20"/>
                <w:szCs w:val="20"/>
                <w14:textFill>
                  <w14:solidFill>
                    <w14:schemeClr w14:val="tx1"/>
                  </w14:solidFill>
                </w14:textFill>
              </w:rPr>
              <w:t xml:space="preserve">   </w:t>
            </w:r>
            <w:r>
              <w:rPr>
                <w:rFonts w:hint="eastAsia" w:ascii="宋体" w:hAnsi="宋体"/>
                <w:caps/>
                <w:color w:val="000000" w:themeColor="text1"/>
                <w:kern w:val="2"/>
                <w:sz w:val="20"/>
                <w:szCs w:val="20"/>
                <w14:textFill>
                  <w14:solidFill>
                    <w14:schemeClr w14:val="tx1"/>
                  </w14:solidFill>
                </w14:textFill>
              </w:rPr>
              <w:t>）。</w:t>
            </w:r>
          </w:p>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p>
        </w:tc>
        <w:tc>
          <w:tcPr>
            <w:tcW w:w="4111" w:type="dxa"/>
          </w:tcPr>
          <w:p>
            <w:pPr>
              <w:pStyle w:val="6"/>
              <w:numPr>
                <w:ilvl w:val="0"/>
                <w:numId w:val="46"/>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《公务员法》</w:t>
            </w:r>
          </w:p>
          <w:p>
            <w:pPr>
              <w:pStyle w:val="6"/>
              <w:numPr>
                <w:ilvl w:val="0"/>
                <w:numId w:val="46"/>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《地方各级人民代表大会和地方各级人民政府组织法》</w:t>
            </w:r>
          </w:p>
          <w:p>
            <w:pPr>
              <w:pStyle w:val="6"/>
              <w:numPr>
                <w:ilvl w:val="0"/>
                <w:numId w:val="46"/>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《政府信息公开条例》</w:t>
            </w:r>
          </w:p>
          <w:p>
            <w:pPr>
              <w:pStyle w:val="6"/>
              <w:numPr>
                <w:ilvl w:val="0"/>
                <w:numId w:val="46"/>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《规章制定程序条例》</w:t>
            </w:r>
          </w:p>
        </w:tc>
        <w:tc>
          <w:tcPr>
            <w:tcW w:w="1213" w:type="dxa"/>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下列行为中，属于行政强制措施的是（</w:t>
            </w:r>
            <w:r>
              <w:rPr>
                <w:rFonts w:ascii="宋体" w:hAnsi="宋体"/>
                <w:caps/>
                <w:color w:val="000000" w:themeColor="text1"/>
                <w:kern w:val="2"/>
                <w:sz w:val="20"/>
                <w:szCs w:val="20"/>
                <w14:textFill>
                  <w14:solidFill>
                    <w14:schemeClr w14:val="tx1"/>
                  </w14:solidFill>
                </w14:textFill>
              </w:rPr>
              <w:t xml:space="preserve">   </w:t>
            </w:r>
            <w:r>
              <w:rPr>
                <w:rFonts w:hint="eastAsia" w:ascii="宋体" w:hAnsi="宋体"/>
                <w:caps/>
                <w:color w:val="000000" w:themeColor="text1"/>
                <w:kern w:val="2"/>
                <w:sz w:val="20"/>
                <w:szCs w:val="20"/>
                <w14:textFill>
                  <w14:solidFill>
                    <w14:schemeClr w14:val="tx1"/>
                  </w14:solidFill>
                </w14:textFill>
              </w:rPr>
              <w:t>）。</w:t>
            </w:r>
          </w:p>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p>
        </w:tc>
        <w:tc>
          <w:tcPr>
            <w:tcW w:w="4111" w:type="dxa"/>
          </w:tcPr>
          <w:p>
            <w:pPr>
              <w:pStyle w:val="6"/>
              <w:numPr>
                <w:ilvl w:val="0"/>
                <w:numId w:val="47"/>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执行罚</w:t>
            </w:r>
          </w:p>
          <w:p>
            <w:pPr>
              <w:pStyle w:val="6"/>
              <w:numPr>
                <w:ilvl w:val="0"/>
                <w:numId w:val="47"/>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责令停产停业</w:t>
            </w:r>
          </w:p>
          <w:p>
            <w:pPr>
              <w:pStyle w:val="6"/>
              <w:numPr>
                <w:ilvl w:val="0"/>
                <w:numId w:val="47"/>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强制隔离戒毒</w:t>
            </w:r>
          </w:p>
          <w:p>
            <w:pPr>
              <w:pStyle w:val="6"/>
              <w:numPr>
                <w:ilvl w:val="0"/>
                <w:numId w:val="47"/>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冻结银行存款</w:t>
            </w:r>
          </w:p>
        </w:tc>
        <w:tc>
          <w:tcPr>
            <w:tcW w:w="1213" w:type="dxa"/>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下列行政机关的做法，符合《公务员法》规定的是（</w:t>
            </w:r>
            <w:r>
              <w:rPr>
                <w:rFonts w:ascii="宋体" w:hAnsi="宋体"/>
                <w:caps/>
                <w:color w:val="000000" w:themeColor="text1"/>
                <w:kern w:val="2"/>
                <w:sz w:val="20"/>
                <w:szCs w:val="20"/>
                <w14:textFill>
                  <w14:solidFill>
                    <w14:schemeClr w14:val="tx1"/>
                  </w14:solidFill>
                </w14:textFill>
              </w:rPr>
              <w:t xml:space="preserve">   </w:t>
            </w:r>
            <w:r>
              <w:rPr>
                <w:rFonts w:hint="eastAsia" w:ascii="宋体" w:hAnsi="宋体"/>
                <w:caps/>
                <w:color w:val="000000" w:themeColor="text1"/>
                <w:kern w:val="2"/>
                <w:sz w:val="20"/>
                <w:szCs w:val="20"/>
                <w14:textFill>
                  <w14:solidFill>
                    <w14:schemeClr w14:val="tx1"/>
                  </w14:solidFill>
                </w14:textFill>
              </w:rPr>
              <w:t>）。</w:t>
            </w:r>
          </w:p>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p>
        </w:tc>
        <w:tc>
          <w:tcPr>
            <w:tcW w:w="4111" w:type="dxa"/>
          </w:tcPr>
          <w:p>
            <w:pPr>
              <w:pStyle w:val="6"/>
              <w:numPr>
                <w:ilvl w:val="0"/>
                <w:numId w:val="48"/>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市财政局决定录用曾受过刑事处罚但业务和能力十分优秀的宋某</w:t>
            </w:r>
          </w:p>
          <w:p>
            <w:pPr>
              <w:pStyle w:val="6"/>
              <w:numPr>
                <w:ilvl w:val="0"/>
                <w:numId w:val="48"/>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市环保局以新录用的公务员齐某试用期满不合格为由，决定取消录用</w:t>
            </w:r>
          </w:p>
          <w:p>
            <w:pPr>
              <w:pStyle w:val="6"/>
              <w:numPr>
                <w:ilvl w:val="0"/>
                <w:numId w:val="48"/>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市税务局以办事员梁某在</w:t>
            </w:r>
            <w:r>
              <w:rPr>
                <w:rFonts w:ascii="宋体" w:hAnsi="宋体"/>
                <w:color w:val="000000" w:themeColor="text1"/>
                <w:kern w:val="2"/>
                <w:sz w:val="20"/>
                <w:szCs w:val="20"/>
                <w14:textFill>
                  <w14:solidFill>
                    <w14:schemeClr w14:val="tx1"/>
                  </w14:solidFill>
                </w14:textFill>
              </w:rPr>
              <w:t>2012~2013</w:t>
            </w:r>
            <w:r>
              <w:rPr>
                <w:rFonts w:hint="eastAsia" w:ascii="宋体" w:hAnsi="宋体"/>
                <w:color w:val="000000" w:themeColor="text1"/>
                <w:kern w:val="2"/>
                <w:sz w:val="20"/>
                <w:szCs w:val="20"/>
                <w14:textFill>
                  <w14:solidFill>
                    <w14:schemeClr w14:val="tx1"/>
                  </w14:solidFill>
                </w14:textFill>
              </w:rPr>
              <w:t>连续两年的定期考核中被确定为不称职为由，决定将其辞退</w:t>
            </w:r>
          </w:p>
          <w:p>
            <w:pPr>
              <w:pStyle w:val="6"/>
              <w:numPr>
                <w:ilvl w:val="0"/>
                <w:numId w:val="48"/>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市民政局以副处长陈某在</w:t>
            </w:r>
            <w:r>
              <w:rPr>
                <w:rFonts w:ascii="宋体" w:hAnsi="宋体"/>
                <w:color w:val="000000" w:themeColor="text1"/>
                <w:kern w:val="2"/>
                <w:sz w:val="20"/>
                <w:szCs w:val="20"/>
                <w14:textFill>
                  <w14:solidFill>
                    <w14:schemeClr w14:val="tx1"/>
                  </w14:solidFill>
                </w14:textFill>
              </w:rPr>
              <w:t>2016</w:t>
            </w:r>
            <w:r>
              <w:rPr>
                <w:rFonts w:hint="eastAsia" w:ascii="宋体" w:hAnsi="宋体"/>
                <w:color w:val="000000" w:themeColor="text1"/>
                <w:kern w:val="2"/>
                <w:sz w:val="20"/>
                <w:szCs w:val="20"/>
                <w14:textFill>
                  <w14:solidFill>
                    <w14:schemeClr w14:val="tx1"/>
                  </w14:solidFill>
                </w14:textFill>
              </w:rPr>
              <w:t>年的定期考核中只被确定为基本称职为由，决定让其降低一个职务层次任职</w:t>
            </w:r>
          </w:p>
        </w:tc>
        <w:tc>
          <w:tcPr>
            <w:tcW w:w="1213" w:type="dxa"/>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B;C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pStyle w:val="6"/>
              <w:adjustRightInd w:val="0"/>
              <w:snapToGrid w:val="0"/>
              <w:spacing w:after="0" w:line="360" w:lineRule="exact"/>
              <w:ind w:firstLine="0" w:firstLineChars="0"/>
              <w:rPr>
                <w:rFonts w:ascii="宋体" w:hAnsi="宋体"/>
                <w:caps/>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下列属于行政诉讼参加人的是（</w:t>
            </w:r>
            <w:r>
              <w:rPr>
                <w:rFonts w:ascii="宋体" w:hAnsi="宋体"/>
                <w:caps/>
                <w:color w:val="000000" w:themeColor="text1"/>
                <w:kern w:val="2"/>
                <w:sz w:val="20"/>
                <w:szCs w:val="20"/>
                <w14:textFill>
                  <w14:solidFill>
                    <w14:schemeClr w14:val="tx1"/>
                  </w14:solidFill>
                </w14:textFill>
              </w:rPr>
              <w:t xml:space="preserve">   </w:t>
            </w:r>
            <w:r>
              <w:rPr>
                <w:rFonts w:hint="eastAsia" w:ascii="宋体" w:hAnsi="宋体"/>
                <w:caps/>
                <w:color w:val="000000" w:themeColor="text1"/>
                <w:kern w:val="2"/>
                <w:sz w:val="20"/>
                <w:szCs w:val="20"/>
                <w14:textFill>
                  <w14:solidFill>
                    <w14:schemeClr w14:val="tx1"/>
                  </w14:solidFill>
                </w14:textFill>
              </w:rPr>
              <w:t>）。</w:t>
            </w:r>
            <w:r>
              <w:rPr>
                <w:rFonts w:ascii="宋体" w:hAnsi="宋体"/>
                <w:caps/>
                <w:color w:val="000000" w:themeColor="text1"/>
                <w:kern w:val="2"/>
                <w:sz w:val="20"/>
                <w:szCs w:val="20"/>
                <w14:textFill>
                  <w14:solidFill>
                    <w14:schemeClr w14:val="tx1"/>
                  </w14:solidFill>
                </w14:textFill>
              </w:rPr>
              <w:t xml:space="preserve">  </w:t>
            </w:r>
          </w:p>
          <w:p>
            <w:pPr>
              <w:tabs>
                <w:tab w:val="left" w:pos="3741"/>
              </w:tabs>
              <w:snapToGrid w:val="0"/>
              <w:spacing w:line="340" w:lineRule="exact"/>
              <w:rPr>
                <w:color w:val="000000" w:themeColor="text1"/>
                <w:sz w:val="20"/>
                <w:szCs w:val="20"/>
                <w14:textFill>
                  <w14:solidFill>
                    <w14:schemeClr w14:val="tx1"/>
                  </w14:solidFill>
                </w14:textFill>
              </w:rPr>
            </w:pPr>
          </w:p>
        </w:tc>
        <w:tc>
          <w:tcPr>
            <w:tcW w:w="4111" w:type="dxa"/>
          </w:tcPr>
          <w:p>
            <w:pPr>
              <w:pStyle w:val="6"/>
              <w:numPr>
                <w:ilvl w:val="0"/>
                <w:numId w:val="49"/>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原告</w:t>
            </w:r>
          </w:p>
          <w:p>
            <w:pPr>
              <w:pStyle w:val="6"/>
              <w:numPr>
                <w:ilvl w:val="0"/>
                <w:numId w:val="49"/>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被告</w:t>
            </w:r>
          </w:p>
          <w:p>
            <w:pPr>
              <w:pStyle w:val="6"/>
              <w:numPr>
                <w:ilvl w:val="0"/>
                <w:numId w:val="49"/>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证人</w:t>
            </w:r>
          </w:p>
          <w:p>
            <w:pPr>
              <w:pStyle w:val="6"/>
              <w:numPr>
                <w:ilvl w:val="0"/>
                <w:numId w:val="49"/>
              </w:numPr>
              <w:adjustRightInd w:val="0"/>
              <w:snapToGrid w:val="0"/>
              <w:spacing w:after="0" w:line="360" w:lineRule="exact"/>
              <w:ind w:firstLine="0" w:firstLineChars="0"/>
              <w:rPr>
                <w:rFonts w:ascii="宋体"/>
                <w:color w:val="000000" w:themeColor="text1"/>
                <w:kern w:val="2"/>
                <w:sz w:val="20"/>
                <w:szCs w:val="20"/>
                <w:lang w:val="es-ES"/>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第三人</w:t>
            </w:r>
          </w:p>
        </w:tc>
        <w:tc>
          <w:tcPr>
            <w:tcW w:w="1213" w:type="dxa"/>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A;B;d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snapToGrid w:val="0"/>
              <w:spacing w:line="340" w:lineRule="exact"/>
              <w:rPr>
                <w:rFonts w:asci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下列选项中，属于我国行政法渊源的是（</w:t>
            </w:r>
            <w:r>
              <w:rPr>
                <w:rFonts w:ascii="宋体" w:hAnsi="宋体"/>
                <w:color w:val="000000" w:themeColor="text1"/>
                <w:sz w:val="20"/>
                <w:szCs w:val="20"/>
                <w14:textFill>
                  <w14:solidFill>
                    <w14:schemeClr w14:val="tx1"/>
                  </w14:solidFill>
                </w14:textFill>
              </w:rPr>
              <w:t xml:space="preserve">   </w:t>
            </w:r>
            <w:r>
              <w:rPr>
                <w:rFonts w:hint="eastAsia" w:ascii="宋体" w:hAnsi="宋体"/>
                <w:color w:val="000000" w:themeColor="text1"/>
                <w:sz w:val="20"/>
                <w:szCs w:val="20"/>
                <w14:textFill>
                  <w14:solidFill>
                    <w14:schemeClr w14:val="tx1"/>
                  </w14:solidFill>
                </w14:textFill>
              </w:rPr>
              <w:t>）。</w:t>
            </w:r>
          </w:p>
        </w:tc>
        <w:tc>
          <w:tcPr>
            <w:tcW w:w="4111" w:type="dxa"/>
          </w:tcPr>
          <w:p>
            <w:pPr>
              <w:pStyle w:val="6"/>
              <w:numPr>
                <w:ilvl w:val="0"/>
                <w:numId w:val="50"/>
              </w:numPr>
              <w:adjustRightInd w:val="0"/>
              <w:snapToGrid w:val="0"/>
              <w:spacing w:after="0" w:line="360" w:lineRule="exact"/>
              <w:ind w:firstLine="0" w:firstLineChars="0"/>
              <w:rPr>
                <w:rFonts w:asci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村规民约</w:t>
            </w:r>
          </w:p>
          <w:p>
            <w:pPr>
              <w:pStyle w:val="6"/>
              <w:numPr>
                <w:ilvl w:val="0"/>
                <w:numId w:val="50"/>
              </w:numPr>
              <w:adjustRightInd w:val="0"/>
              <w:snapToGrid w:val="0"/>
              <w:spacing w:after="0" w:line="360" w:lineRule="exact"/>
              <w:ind w:firstLine="0" w:firstLineChars="0"/>
              <w:rPr>
                <w:rFonts w:asci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自治条例</w:t>
            </w:r>
          </w:p>
          <w:p>
            <w:pPr>
              <w:pStyle w:val="6"/>
              <w:numPr>
                <w:ilvl w:val="0"/>
                <w:numId w:val="50"/>
              </w:numPr>
              <w:adjustRightInd w:val="0"/>
              <w:snapToGrid w:val="0"/>
              <w:spacing w:after="0" w:line="360" w:lineRule="exact"/>
              <w:ind w:firstLine="0" w:firstLineChars="0"/>
              <w:rPr>
                <w:rFonts w:asci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最高人民检察院的司法解释</w:t>
            </w:r>
          </w:p>
          <w:p>
            <w:pPr>
              <w:pStyle w:val="6"/>
              <w:numPr>
                <w:ilvl w:val="0"/>
                <w:numId w:val="50"/>
              </w:numPr>
              <w:adjustRightInd w:val="0"/>
              <w:snapToGrid w:val="0"/>
              <w:spacing w:after="0" w:line="360" w:lineRule="exact"/>
              <w:ind w:firstLine="0" w:firstLineChars="0"/>
              <w:rPr>
                <w:rFonts w:asci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最高人民法院的指导性案例</w:t>
            </w:r>
          </w:p>
        </w:tc>
        <w:tc>
          <w:tcPr>
            <w:tcW w:w="1213" w:type="dxa"/>
            <w:vAlign w:val="center"/>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B;C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下列有关行政法律关系的表述，</w:t>
            </w:r>
            <w:bookmarkStart w:id="2" w:name="OLE_LINK3"/>
            <w:r>
              <w:rPr>
                <w:rFonts w:hint="eastAsia" w:ascii="宋体" w:hAnsi="宋体"/>
                <w:caps/>
                <w:color w:val="000000" w:themeColor="text1"/>
                <w:kern w:val="2"/>
                <w:sz w:val="20"/>
                <w:szCs w:val="20"/>
                <w14:textFill>
                  <w14:solidFill>
                    <w14:schemeClr w14:val="tx1"/>
                  </w14:solidFill>
                </w14:textFill>
              </w:rPr>
              <w:t>正确的是（</w:t>
            </w:r>
            <w:r>
              <w:rPr>
                <w:rFonts w:ascii="宋体" w:hAnsi="宋体"/>
                <w:caps/>
                <w:color w:val="000000" w:themeColor="text1"/>
                <w:kern w:val="2"/>
                <w:sz w:val="20"/>
                <w:szCs w:val="20"/>
                <w14:textFill>
                  <w14:solidFill>
                    <w14:schemeClr w14:val="tx1"/>
                  </w14:solidFill>
                </w14:textFill>
              </w:rPr>
              <w:t xml:space="preserve">   </w:t>
            </w:r>
            <w:r>
              <w:rPr>
                <w:rFonts w:hint="eastAsia" w:ascii="宋体" w:hAnsi="宋体"/>
                <w:caps/>
                <w:color w:val="000000" w:themeColor="text1"/>
                <w:kern w:val="2"/>
                <w:sz w:val="20"/>
                <w:szCs w:val="20"/>
                <w14:textFill>
                  <w14:solidFill>
                    <w14:schemeClr w14:val="tx1"/>
                  </w14:solidFill>
                </w14:textFill>
              </w:rPr>
              <w:t>）。</w:t>
            </w:r>
            <w:bookmarkEnd w:id="2"/>
          </w:p>
          <w:p>
            <w:pPr>
              <w:spacing w:line="288" w:lineRule="auto"/>
              <w:rPr>
                <w:rFonts w:ascii="宋体"/>
                <w:caps/>
                <w:color w:val="000000" w:themeColor="text1"/>
                <w:sz w:val="20"/>
                <w:szCs w:val="20"/>
                <w14:textFill>
                  <w14:solidFill>
                    <w14:schemeClr w14:val="tx1"/>
                  </w14:solidFill>
                </w14:textFill>
              </w:rPr>
            </w:pPr>
          </w:p>
        </w:tc>
        <w:tc>
          <w:tcPr>
            <w:tcW w:w="4111" w:type="dxa"/>
          </w:tcPr>
          <w:p>
            <w:pPr>
              <w:pStyle w:val="6"/>
              <w:numPr>
                <w:ilvl w:val="0"/>
                <w:numId w:val="51"/>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行政法律关系由主体、客体和内容三大要素组成</w:t>
            </w:r>
          </w:p>
          <w:p>
            <w:pPr>
              <w:pStyle w:val="6"/>
              <w:numPr>
                <w:ilvl w:val="0"/>
                <w:numId w:val="51"/>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行政法律关系的双方当事人中必须有一方为行政主体</w:t>
            </w:r>
          </w:p>
          <w:p>
            <w:pPr>
              <w:pStyle w:val="6"/>
              <w:numPr>
                <w:ilvl w:val="0"/>
                <w:numId w:val="51"/>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行政法律关系主体的权利义务大多都是相互约定产生的</w:t>
            </w:r>
          </w:p>
          <w:p>
            <w:pPr>
              <w:pStyle w:val="6"/>
              <w:numPr>
                <w:ilvl w:val="0"/>
                <w:numId w:val="51"/>
              </w:numPr>
              <w:adjustRightInd w:val="0"/>
              <w:snapToGrid w:val="0"/>
              <w:spacing w:after="0" w:line="360" w:lineRule="exact"/>
              <w:ind w:firstLine="0" w:firstLineChars="0"/>
              <w:rPr>
                <w:rFonts w:ascii="宋体"/>
                <w:color w:val="000000" w:themeColor="text1"/>
                <w:kern w:val="2"/>
                <w:sz w:val="20"/>
                <w:szCs w:val="20"/>
                <w14:textFill>
                  <w14:solidFill>
                    <w14:schemeClr w14:val="tx1"/>
                  </w14:solidFill>
                </w14:textFill>
              </w:rPr>
            </w:pPr>
            <w:r>
              <w:rPr>
                <w:rFonts w:hint="eastAsia" w:ascii="宋体" w:hAnsi="宋体"/>
                <w:color w:val="000000" w:themeColor="text1"/>
                <w:kern w:val="2"/>
                <w:sz w:val="20"/>
                <w:szCs w:val="20"/>
                <w14:textFill>
                  <w14:solidFill>
                    <w14:schemeClr w14:val="tx1"/>
                  </w14:solidFill>
                </w14:textFill>
              </w:rPr>
              <w:t>由行政法律关系引发的争议只能由法院按司法程序解决</w:t>
            </w:r>
          </w:p>
        </w:tc>
        <w:tc>
          <w:tcPr>
            <w:tcW w:w="1213" w:type="dxa"/>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A;B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2" w:type="dxa"/>
          </w:tcPr>
          <w:p>
            <w:pPr>
              <w:snapToGrid w:val="0"/>
              <w:spacing w:line="340" w:lineRule="exact"/>
              <w:rPr>
                <w:rFonts w:asci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岳某因口角纠纷被左某殴打，嵩山县公安局决定对左某罚款</w:t>
            </w:r>
            <w:r>
              <w:rPr>
                <w:rFonts w:ascii="宋体" w:hAnsi="宋体"/>
                <w:color w:val="000000" w:themeColor="text1"/>
                <w:sz w:val="20"/>
                <w:szCs w:val="20"/>
                <w14:textFill>
                  <w14:solidFill>
                    <w14:schemeClr w14:val="tx1"/>
                  </w14:solidFill>
                </w14:textFill>
              </w:rPr>
              <w:t>2000</w:t>
            </w:r>
            <w:r>
              <w:rPr>
                <w:rFonts w:hint="eastAsia" w:ascii="宋体" w:hAnsi="宋体"/>
                <w:color w:val="000000" w:themeColor="text1"/>
                <w:sz w:val="20"/>
                <w:szCs w:val="20"/>
                <w14:textFill>
                  <w14:solidFill>
                    <w14:schemeClr w14:val="tx1"/>
                  </w14:solidFill>
                </w14:textFill>
              </w:rPr>
              <w:t>元、拘留</w:t>
            </w:r>
            <w:r>
              <w:rPr>
                <w:rFonts w:ascii="宋体" w:hAnsi="宋体"/>
                <w:color w:val="000000" w:themeColor="text1"/>
                <w:sz w:val="20"/>
                <w:szCs w:val="20"/>
                <w14:textFill>
                  <w14:solidFill>
                    <w14:schemeClr w14:val="tx1"/>
                  </w14:solidFill>
                </w14:textFill>
              </w:rPr>
              <w:t>10</w:t>
            </w:r>
            <w:r>
              <w:rPr>
                <w:rFonts w:hint="eastAsia" w:ascii="宋体" w:hAnsi="宋体"/>
                <w:color w:val="000000" w:themeColor="text1"/>
                <w:sz w:val="20"/>
                <w:szCs w:val="20"/>
                <w14:textFill>
                  <w14:solidFill>
                    <w14:schemeClr w14:val="tx1"/>
                  </w14:solidFill>
                </w14:textFill>
              </w:rPr>
              <w:t>日。岳某不服起诉，法院通知左某参加诉讼。对于本案，下列说法错误的是（</w:t>
            </w:r>
            <w:r>
              <w:rPr>
                <w:rFonts w:ascii="宋体" w:hAnsi="宋体"/>
                <w:color w:val="000000" w:themeColor="text1"/>
                <w:sz w:val="20"/>
                <w:szCs w:val="20"/>
                <w14:textFill>
                  <w14:solidFill>
                    <w14:schemeClr w14:val="tx1"/>
                  </w14:solidFill>
                </w14:textFill>
              </w:rPr>
              <w:t xml:space="preserve">   </w:t>
            </w:r>
            <w:r>
              <w:rPr>
                <w:rFonts w:hint="eastAsia" w:ascii="宋体" w:hAnsi="宋体"/>
                <w:color w:val="000000" w:themeColor="text1"/>
                <w:sz w:val="20"/>
                <w:szCs w:val="20"/>
                <w14:textFill>
                  <w14:solidFill>
                    <w14:schemeClr w14:val="tx1"/>
                  </w14:solidFill>
                </w14:textFill>
              </w:rPr>
              <w:t>）。</w:t>
            </w:r>
          </w:p>
        </w:tc>
        <w:tc>
          <w:tcPr>
            <w:tcW w:w="4111" w:type="dxa"/>
          </w:tcPr>
          <w:p>
            <w:pPr>
              <w:pStyle w:val="6"/>
              <w:numPr>
                <w:ilvl w:val="0"/>
                <w:numId w:val="52"/>
              </w:numPr>
              <w:adjustRightInd w:val="0"/>
              <w:snapToGrid w:val="0"/>
              <w:spacing w:after="0" w:line="360" w:lineRule="exact"/>
              <w:ind w:firstLine="0" w:firstLineChars="0"/>
              <w:rPr>
                <w:rFonts w:asci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本案应当由基层人民法院管辖</w:t>
            </w:r>
          </w:p>
          <w:p>
            <w:pPr>
              <w:pStyle w:val="6"/>
              <w:numPr>
                <w:ilvl w:val="0"/>
                <w:numId w:val="52"/>
              </w:numPr>
              <w:adjustRightInd w:val="0"/>
              <w:snapToGrid w:val="0"/>
              <w:spacing w:after="0" w:line="360" w:lineRule="exact"/>
              <w:ind w:firstLine="0" w:firstLineChars="0"/>
              <w:rPr>
                <w:rFonts w:asci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左某可以以共同原告的身份参加诉讼</w:t>
            </w:r>
          </w:p>
          <w:p>
            <w:pPr>
              <w:pStyle w:val="6"/>
              <w:numPr>
                <w:ilvl w:val="0"/>
                <w:numId w:val="52"/>
              </w:numPr>
              <w:adjustRightInd w:val="0"/>
              <w:snapToGrid w:val="0"/>
              <w:spacing w:after="0" w:line="360" w:lineRule="exact"/>
              <w:ind w:firstLine="0" w:firstLineChars="0"/>
              <w:rPr>
                <w:rFonts w:asci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对于法院判决，左某无权上诉</w:t>
            </w:r>
          </w:p>
          <w:p>
            <w:pPr>
              <w:pStyle w:val="6"/>
              <w:numPr>
                <w:ilvl w:val="0"/>
                <w:numId w:val="52"/>
              </w:numPr>
              <w:adjustRightInd w:val="0"/>
              <w:snapToGrid w:val="0"/>
              <w:spacing w:after="0" w:line="360" w:lineRule="exact"/>
              <w:ind w:firstLine="0" w:firstLineChars="0"/>
              <w:rPr>
                <w:rFonts w:asci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左某经传唤无正当理由拒不到庭，法院可以按撤诉处理</w:t>
            </w:r>
          </w:p>
        </w:tc>
        <w:tc>
          <w:tcPr>
            <w:tcW w:w="1213" w:type="dxa"/>
            <w:vAlign w:val="center"/>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B;C;d</w:t>
            </w:r>
          </w:p>
        </w:tc>
      </w:tr>
    </w:tbl>
    <w:p>
      <w:pPr>
        <w:rPr>
          <w:rFonts w:ascii="宋体"/>
          <w:color w:val="000000" w:themeColor="text1"/>
          <w:szCs w:val="21"/>
          <w14:textFill>
            <w14:solidFill>
              <w14:schemeClr w14:val="tx1"/>
            </w14:solidFill>
          </w14:textFill>
        </w:rPr>
      </w:pPr>
    </w:p>
    <w:p>
      <w:pP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三、判断题</w:t>
      </w:r>
    </w:p>
    <w:tbl>
      <w:tblPr>
        <w:tblStyle w:val="7"/>
        <w:tblpPr w:leftFromText="180" w:rightFromText="180" w:vertAnchor="text" w:tblpY="1"/>
        <w:tblOverlap w:val="never"/>
        <w:tblW w:w="87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13"/>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513" w:type="dxa"/>
          </w:tcPr>
          <w:p>
            <w:pPr>
              <w:spacing w:line="340" w:lineRule="exact"/>
              <w:jc w:val="center"/>
              <w:rPr>
                <w:b/>
                <w:caps/>
                <w:color w:val="000000" w:themeColor="text1"/>
                <w:sz w:val="20"/>
                <w:szCs w:val="20"/>
                <w14:textFill>
                  <w14:solidFill>
                    <w14:schemeClr w14:val="tx1"/>
                  </w14:solidFill>
                </w14:textFill>
              </w:rPr>
            </w:pPr>
            <w:r>
              <w:rPr>
                <w:rFonts w:hint="eastAsia"/>
                <w:b/>
                <w:caps/>
                <w:color w:val="000000" w:themeColor="text1"/>
                <w:sz w:val="20"/>
                <w:szCs w:val="20"/>
                <w14:textFill>
                  <w14:solidFill>
                    <w14:schemeClr w14:val="tx1"/>
                  </w14:solidFill>
                </w14:textFill>
              </w:rPr>
              <w:t>判断题</w:t>
            </w:r>
          </w:p>
        </w:tc>
        <w:tc>
          <w:tcPr>
            <w:tcW w:w="1276" w:type="dxa"/>
          </w:tcPr>
          <w:p>
            <w:pPr>
              <w:spacing w:line="340" w:lineRule="exact"/>
              <w:jc w:val="center"/>
              <w:rPr>
                <w:b/>
                <w:caps/>
                <w:color w:val="000000" w:themeColor="text1"/>
                <w:sz w:val="20"/>
                <w:szCs w:val="20"/>
                <w14:textFill>
                  <w14:solidFill>
                    <w14:schemeClr w14:val="tx1"/>
                  </w14:solidFill>
                </w14:textFill>
              </w:rPr>
            </w:pPr>
            <w:r>
              <w:rPr>
                <w:b/>
                <w:caps/>
                <w:color w:val="000000" w:themeColor="text1"/>
                <w:sz w:val="20"/>
                <w:szCs w:val="20"/>
                <w14:textFill>
                  <w14:solidFill>
                    <w14:schemeClr w14:val="tx1"/>
                  </w14:solidFill>
                </w14:textFill>
              </w:rPr>
              <w:t>参考答案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3" w:type="dxa"/>
          </w:tcPr>
          <w:p>
            <w:pPr>
              <w:spacing w:line="340" w:lineRule="exact"/>
              <w:rPr>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地方各级人民政府都有权制定地方政府规章。</w:t>
            </w:r>
          </w:p>
        </w:tc>
        <w:tc>
          <w:tcPr>
            <w:tcW w:w="1276" w:type="dxa"/>
          </w:tcPr>
          <w:p>
            <w:pPr>
              <w:jc w:val="center"/>
              <w:rPr>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3" w:type="dxa"/>
          </w:tcPr>
          <w:p>
            <w:pPr>
              <w:rPr>
                <w:rFonts w:ascii="宋体"/>
                <w:caps/>
                <w:color w:val="000000" w:themeColor="text1"/>
                <w:sz w:val="20"/>
                <w:szCs w:val="20"/>
                <w14:textFill>
                  <w14:solidFill>
                    <w14:schemeClr w14:val="tx1"/>
                  </w14:solidFill>
                </w14:textFill>
              </w:rPr>
            </w:pPr>
            <w:r>
              <w:rPr>
                <w:rFonts w:hint="eastAsia" w:ascii="宋体" w:hAnsi="宋体"/>
                <w:caps/>
                <w:color w:val="000000" w:themeColor="text1"/>
                <w:sz w:val="20"/>
                <w:szCs w:val="20"/>
                <w14:textFill>
                  <w14:solidFill>
                    <w14:schemeClr w14:val="tx1"/>
                  </w14:solidFill>
                </w14:textFill>
              </w:rPr>
              <w:t>地方各级人民政府只需对上一级国家行政机关负责并报告工作。</w:t>
            </w:r>
          </w:p>
        </w:tc>
        <w:tc>
          <w:tcPr>
            <w:tcW w:w="1276" w:type="dxa"/>
          </w:tcPr>
          <w:p>
            <w:pPr>
              <w:spacing w:line="340" w:lineRule="exact"/>
              <w:jc w:val="center"/>
              <w:rPr>
                <w:rFonts w:ascii="宋体"/>
                <w:caps/>
                <w:color w:val="000000" w:themeColor="text1"/>
                <w:sz w:val="20"/>
                <w:szCs w:val="20"/>
                <w14:textFill>
                  <w14:solidFill>
                    <w14:schemeClr w14:val="tx1"/>
                  </w14:solidFill>
                </w14:textFill>
              </w:rPr>
            </w:pPr>
            <w:r>
              <w:rPr>
                <w:rFonts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3" w:type="dxa"/>
          </w:tcPr>
          <w:p>
            <w:pPr>
              <w:rPr>
                <w:rFonts w:ascii="Times New Roman" w:hAnsi="Times New Roman"/>
                <w:color w:val="000000" w:themeColor="text1"/>
                <w:sz w:val="20"/>
                <w:szCs w:val="20"/>
                <w14:textFill>
                  <w14:solidFill>
                    <w14:schemeClr w14:val="tx1"/>
                  </w14:solidFill>
                </w14:textFill>
              </w:rPr>
            </w:pPr>
            <w:r>
              <w:rPr>
                <w:rFonts w:ascii="Times New Roman" w:hAnsi="Times New Roman"/>
                <w:color w:val="000000" w:themeColor="text1"/>
                <w:sz w:val="20"/>
                <w:szCs w:val="20"/>
                <w14:textFill>
                  <w14:solidFill>
                    <w14:schemeClr w14:val="tx1"/>
                  </w14:solidFill>
                </w14:textFill>
              </w:rPr>
              <w:t>对诉讼中涉及的所有问题都不得适用调解，是行政诉讼的一个主要特征。（   ）</w:t>
            </w:r>
          </w:p>
        </w:tc>
        <w:tc>
          <w:tcPr>
            <w:tcW w:w="1276" w:type="dxa"/>
            <w:vAlign w:val="center"/>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3" w:type="dxa"/>
          </w:tcPr>
          <w:p>
            <w:pPr>
              <w:rPr>
                <w:rFonts w:ascii="宋体"/>
                <w:color w:val="000000" w:themeColor="text1"/>
                <w:sz w:val="20"/>
                <w:szCs w:val="20"/>
                <w14:textFill>
                  <w14:solidFill>
                    <w14:schemeClr w14:val="tx1"/>
                  </w14:solidFill>
                </w14:textFill>
              </w:rPr>
            </w:pPr>
            <w:r>
              <w:rPr>
                <w:rFonts w:hint="eastAsia"/>
                <w:color w:val="000000" w:themeColor="text1"/>
                <w:sz w:val="20"/>
                <w:szCs w:val="20"/>
                <w14:textFill>
                  <w14:solidFill>
                    <w14:schemeClr w14:val="tx1"/>
                  </w14:solidFill>
                </w14:textFill>
              </w:rPr>
              <w:t>公务员是指依法履行公职、纳入国家事业编制、由国家财政负担工资福利的工作人员。（</w:t>
            </w:r>
            <w:r>
              <w:rPr>
                <w:color w:val="000000" w:themeColor="text1"/>
                <w:sz w:val="20"/>
                <w:szCs w:val="20"/>
                <w14:textFill>
                  <w14:solidFill>
                    <w14:schemeClr w14:val="tx1"/>
                  </w14:solidFill>
                </w14:textFill>
              </w:rPr>
              <w:t xml:space="preserve">    </w:t>
            </w:r>
            <w:r>
              <w:rPr>
                <w:rFonts w:hint="eastAsia"/>
                <w:color w:val="000000" w:themeColor="text1"/>
                <w:sz w:val="20"/>
                <w:szCs w:val="20"/>
                <w14:textFill>
                  <w14:solidFill>
                    <w14:schemeClr w14:val="tx1"/>
                  </w14:solidFill>
                </w14:textFill>
              </w:rPr>
              <w:t>）</w:t>
            </w:r>
          </w:p>
        </w:tc>
        <w:tc>
          <w:tcPr>
            <w:tcW w:w="1276" w:type="dxa"/>
          </w:tcPr>
          <w:p>
            <w:pPr>
              <w:jc w:val="center"/>
              <w:rPr>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3" w:type="dxa"/>
          </w:tcPr>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caps/>
                <w:color w:val="000000" w:themeColor="text1"/>
                <w:kern w:val="2"/>
                <w:sz w:val="20"/>
                <w:szCs w:val="20"/>
                <w14:textFill>
                  <w14:solidFill>
                    <w14:schemeClr w14:val="tx1"/>
                  </w14:solidFill>
                </w14:textFill>
              </w:rPr>
              <w:t>国务委员、农业部部长和国家民族事务委员会主任都属于国务院组成人员。</w:t>
            </w:r>
            <w:r>
              <w:rPr>
                <w:rFonts w:hint="eastAsia" w:ascii="Times New Roman" w:hAnsi="Times New Roman"/>
                <w:caps/>
                <w:color w:val="000000" w:themeColor="text1"/>
                <w:sz w:val="20"/>
                <w:szCs w:val="20"/>
                <w14:textFill>
                  <w14:solidFill>
                    <w14:schemeClr w14:val="tx1"/>
                  </w14:solidFill>
                </w14:textFill>
              </w:rPr>
              <w:t>（</w:t>
            </w:r>
            <w:r>
              <w:rPr>
                <w:rFonts w:ascii="Times New Roman" w:hAnsi="Times New Roman"/>
                <w:caps/>
                <w:color w:val="000000" w:themeColor="text1"/>
                <w:sz w:val="20"/>
                <w:szCs w:val="20"/>
                <w14:textFill>
                  <w14:solidFill>
                    <w14:schemeClr w14:val="tx1"/>
                  </w14:solidFill>
                </w14:textFill>
              </w:rPr>
              <w:t xml:space="preserve">   </w:t>
            </w:r>
            <w:r>
              <w:rPr>
                <w:rFonts w:hint="eastAsia" w:ascii="Times New Roman" w:hAnsi="Times New Roman"/>
                <w:caps/>
                <w:color w:val="000000" w:themeColor="text1"/>
                <w:sz w:val="20"/>
                <w:szCs w:val="20"/>
                <w14:textFill>
                  <w14:solidFill>
                    <w14:schemeClr w14:val="tx1"/>
                  </w14:solidFill>
                </w14:textFill>
              </w:rPr>
              <w:t>）</w:t>
            </w:r>
          </w:p>
        </w:tc>
        <w:tc>
          <w:tcPr>
            <w:tcW w:w="1276" w:type="dxa"/>
          </w:tcPr>
          <w:p>
            <w:pPr>
              <w:spacing w:line="340" w:lineRule="exact"/>
              <w:jc w:val="center"/>
              <w:rPr>
                <w:rFonts w:ascii="宋体"/>
                <w:caps/>
                <w:color w:val="000000" w:themeColor="text1"/>
                <w:sz w:val="20"/>
                <w:szCs w:val="20"/>
                <w14:textFill>
                  <w14:solidFill>
                    <w14:schemeClr w14:val="tx1"/>
                  </w14:solidFill>
                </w14:textFill>
              </w:rPr>
            </w:pPr>
            <w:r>
              <w:rPr>
                <w:rFonts w:ascii="宋体" w:hAnsi="宋体"/>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3" w:type="dxa"/>
          </w:tcPr>
          <w:p>
            <w:pPr>
              <w:snapToGrid w:val="0"/>
              <w:spacing w:line="340" w:lineRule="exact"/>
              <w:rPr>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国务院制定行政法规，总共需要经历五个程序，分别是“起草→审查→决定→公布→施行与备案”。</w:t>
            </w:r>
            <w:r>
              <w:rPr>
                <w:rFonts w:hint="eastAsia" w:ascii="Times New Roman" w:hAnsi="Times New Roman"/>
                <w:caps/>
                <w:color w:val="000000" w:themeColor="text1"/>
                <w:kern w:val="0"/>
                <w:sz w:val="20"/>
                <w:szCs w:val="20"/>
                <w14:textFill>
                  <w14:solidFill>
                    <w14:schemeClr w14:val="tx1"/>
                  </w14:solidFill>
                </w14:textFill>
              </w:rPr>
              <w:t>（</w:t>
            </w:r>
            <w:r>
              <w:rPr>
                <w:rFonts w:ascii="Times New Roman" w:hAnsi="Times New Roman"/>
                <w:caps/>
                <w:color w:val="000000" w:themeColor="text1"/>
                <w:kern w:val="0"/>
                <w:sz w:val="20"/>
                <w:szCs w:val="20"/>
                <w14:textFill>
                  <w14:solidFill>
                    <w14:schemeClr w14:val="tx1"/>
                  </w14:solidFill>
                </w14:textFill>
              </w:rPr>
              <w:t xml:space="preserve">   </w:t>
            </w:r>
            <w:r>
              <w:rPr>
                <w:rFonts w:hint="eastAsia" w:ascii="Times New Roman" w:hAnsi="Times New Roman"/>
                <w:caps/>
                <w:color w:val="000000" w:themeColor="text1"/>
                <w:kern w:val="0"/>
                <w:sz w:val="20"/>
                <w:szCs w:val="20"/>
                <w14:textFill>
                  <w14:solidFill>
                    <w14:schemeClr w14:val="tx1"/>
                  </w14:solidFill>
                </w14:textFill>
              </w:rPr>
              <w:t>）</w:t>
            </w:r>
          </w:p>
        </w:tc>
        <w:tc>
          <w:tcPr>
            <w:tcW w:w="1276" w:type="dxa"/>
          </w:tcPr>
          <w:p>
            <w:pPr>
              <w:jc w:val="center"/>
              <w:rPr>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3" w:type="dxa"/>
          </w:tcPr>
          <w:p>
            <w:pPr>
              <w:rPr>
                <w:rFonts w:ascii="Times New Roman" w:hAnsi="Times New Roman"/>
                <w:color w:val="000000" w:themeColor="text1"/>
                <w:sz w:val="20"/>
                <w:szCs w:val="20"/>
                <w14:textFill>
                  <w14:solidFill>
                    <w14:schemeClr w14:val="tx1"/>
                  </w14:solidFill>
                </w14:textFill>
              </w:rPr>
            </w:pPr>
            <w:r>
              <w:rPr>
                <w:rFonts w:ascii="Times New Roman" w:hAnsi="Times New Roman"/>
                <w:color w:val="000000" w:themeColor="text1"/>
                <w:sz w:val="20"/>
                <w:szCs w:val="20"/>
                <w14:textFill>
                  <w14:solidFill>
                    <w14:schemeClr w14:val="tx1"/>
                  </w14:solidFill>
                </w14:textFill>
              </w:rPr>
              <w:t>国务院作出的行政立法活动，既包括职权行政立法，也包括授权行政立法。（   ）</w:t>
            </w:r>
          </w:p>
        </w:tc>
        <w:tc>
          <w:tcPr>
            <w:tcW w:w="1276" w:type="dxa"/>
            <w:vAlign w:val="center"/>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3" w:type="dxa"/>
          </w:tcPr>
          <w:p>
            <w:pPr>
              <w:rPr>
                <w:rFonts w:asci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行政法规在公布后由国务院法制机构报全国人大常委会备案。</w:t>
            </w:r>
          </w:p>
        </w:tc>
        <w:tc>
          <w:tcPr>
            <w:tcW w:w="1276" w:type="dxa"/>
            <w:vAlign w:val="center"/>
          </w:tcPr>
          <w:p>
            <w:pPr>
              <w:jc w:val="center"/>
              <w:rPr>
                <w:rFonts w:ascii="宋体"/>
                <w:caps/>
                <w:color w:val="000000" w:themeColor="text1"/>
                <w:sz w:val="20"/>
                <w:szCs w:val="20"/>
                <w14:textFill>
                  <w14:solidFill>
                    <w14:schemeClr w14:val="tx1"/>
                  </w14:solidFill>
                </w14:textFill>
              </w:rPr>
            </w:pPr>
            <w:r>
              <w:rPr>
                <w:rFonts w:ascii="宋体" w:hAnsi="宋体"/>
                <w:caps/>
                <w:color w:val="000000" w:themeColor="text1"/>
                <w:sz w:val="20"/>
                <w:szCs w:val="20"/>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3" w:type="dxa"/>
          </w:tcPr>
          <w:p>
            <w:pPr>
              <w:rPr>
                <w:rFonts w:asci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行政法律关系主体的权利义务一般是由行政法律规范预先规定的。</w:t>
            </w:r>
          </w:p>
        </w:tc>
        <w:tc>
          <w:tcPr>
            <w:tcW w:w="1276" w:type="dxa"/>
            <w:vAlign w:val="center"/>
          </w:tcPr>
          <w:p>
            <w:pPr>
              <w:spacing w:line="340" w:lineRule="exact"/>
              <w:jc w:val="center"/>
              <w:rPr>
                <w:rFonts w:ascii="宋体" w:hAnsi="宋体"/>
                <w:caps/>
                <w:color w:val="000000" w:themeColor="text1"/>
                <w:sz w:val="20"/>
                <w:szCs w:val="20"/>
                <w14:textFill>
                  <w14:solidFill>
                    <w14:schemeClr w14:val="tx1"/>
                  </w14:solidFill>
                </w14:textFill>
              </w:rPr>
            </w:pPr>
            <w:r>
              <w:rPr>
                <w:rFonts w:ascii="宋体" w:hAnsi="宋体"/>
                <w:caps/>
                <w:color w:val="000000" w:themeColor="text1"/>
                <w:sz w:val="20"/>
                <w:szCs w:val="20"/>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3" w:type="dxa"/>
          </w:tcPr>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caps/>
                <w:color w:val="000000" w:themeColor="text1"/>
                <w:kern w:val="2"/>
                <w:sz w:val="20"/>
                <w:szCs w:val="20"/>
                <w14:textFill>
                  <w14:solidFill>
                    <w14:schemeClr w14:val="tx1"/>
                  </w14:solidFill>
                </w14:textFill>
              </w:rPr>
              <w:t>行政法中的程序法和实体法分别独立成为不同的法律部门。</w:t>
            </w:r>
            <w:r>
              <w:rPr>
                <w:rFonts w:hint="eastAsia" w:ascii="Times New Roman" w:hAnsi="Times New Roman"/>
                <w:caps/>
                <w:color w:val="000000" w:themeColor="text1"/>
                <w:sz w:val="20"/>
                <w:szCs w:val="20"/>
                <w14:textFill>
                  <w14:solidFill>
                    <w14:schemeClr w14:val="tx1"/>
                  </w14:solidFill>
                </w14:textFill>
              </w:rPr>
              <w:t>（</w:t>
            </w:r>
            <w:r>
              <w:rPr>
                <w:rFonts w:ascii="Times New Roman" w:hAnsi="Times New Roman"/>
                <w:caps/>
                <w:color w:val="000000" w:themeColor="text1"/>
                <w:sz w:val="20"/>
                <w:szCs w:val="20"/>
                <w14:textFill>
                  <w14:solidFill>
                    <w14:schemeClr w14:val="tx1"/>
                  </w14:solidFill>
                </w14:textFill>
              </w:rPr>
              <w:t xml:space="preserve">   </w:t>
            </w:r>
            <w:r>
              <w:rPr>
                <w:rFonts w:hint="eastAsia" w:ascii="Times New Roman" w:hAnsi="Times New Roman"/>
                <w:caps/>
                <w:color w:val="000000" w:themeColor="text1"/>
                <w:sz w:val="20"/>
                <w:szCs w:val="20"/>
                <w14:textFill>
                  <w14:solidFill>
                    <w14:schemeClr w14:val="tx1"/>
                  </w14:solidFill>
                </w14:textFill>
              </w:rPr>
              <w:t>）</w:t>
            </w:r>
          </w:p>
        </w:tc>
        <w:tc>
          <w:tcPr>
            <w:tcW w:w="1276" w:type="dxa"/>
          </w:tcPr>
          <w:p>
            <w:pPr>
              <w:spacing w:line="340" w:lineRule="exact"/>
              <w:jc w:val="center"/>
              <w:rPr>
                <w:rFonts w:ascii="宋体"/>
                <w:caps/>
                <w:color w:val="000000" w:themeColor="text1"/>
                <w:sz w:val="20"/>
                <w:szCs w:val="20"/>
                <w14:textFill>
                  <w14:solidFill>
                    <w14:schemeClr w14:val="tx1"/>
                  </w14:solidFill>
                </w14:textFill>
              </w:rPr>
            </w:pPr>
            <w:r>
              <w:rPr>
                <w:rFonts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3" w:type="dxa"/>
          </w:tcPr>
          <w:p>
            <w:pPr>
              <w:rPr>
                <w:rFonts w:asci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t>行政机关作出较大数额罚款的处罚决定前，当事人要求听证的，行政机关应当组织听证，组织听证的费用由当事人承担。</w:t>
            </w:r>
          </w:p>
        </w:tc>
        <w:tc>
          <w:tcPr>
            <w:tcW w:w="1276" w:type="dxa"/>
            <w:vAlign w:val="center"/>
          </w:tcPr>
          <w:p>
            <w:pPr>
              <w:jc w:val="center"/>
              <w:rPr>
                <w:rFonts w:ascii="宋体"/>
                <w:caps/>
                <w:color w:val="000000" w:themeColor="text1"/>
                <w:sz w:val="20"/>
                <w:szCs w:val="20"/>
                <w14:textFill>
                  <w14:solidFill>
                    <w14:schemeClr w14:val="tx1"/>
                  </w14:solidFill>
                </w14:textFill>
              </w:rPr>
            </w:pPr>
            <w:r>
              <w:rPr>
                <w:rFonts w:ascii="宋体" w:hAnsi="宋体"/>
                <w:caps/>
                <w:color w:val="000000" w:themeColor="text1"/>
                <w:sz w:val="20"/>
                <w:szCs w:val="20"/>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3" w:type="dxa"/>
          </w:tcPr>
          <w:p>
            <w:pPr>
              <w:rPr>
                <w:rFonts w:ascii="宋体"/>
                <w:color w:val="000000" w:themeColor="text1"/>
                <w:sz w:val="20"/>
                <w:szCs w:val="20"/>
                <w14:textFill>
                  <w14:solidFill>
                    <w14:schemeClr w14:val="tx1"/>
                  </w14:solidFill>
                </w14:textFill>
              </w:rPr>
            </w:pPr>
            <w:r>
              <w:rPr>
                <w:rFonts w:hint="eastAsia"/>
                <w:color w:val="000000" w:themeColor="text1"/>
                <w:sz w:val="20"/>
                <w:szCs w:val="20"/>
                <w14:textFill>
                  <w14:solidFill>
                    <w14:schemeClr w14:val="tx1"/>
                  </w14:solidFill>
                </w14:textFill>
              </w:rPr>
              <w:t>合理行政是所有行政活动必须遵循的首要原则。（</w:t>
            </w:r>
            <w:r>
              <w:rPr>
                <w:color w:val="000000" w:themeColor="text1"/>
                <w:sz w:val="20"/>
                <w:szCs w:val="20"/>
                <w14:textFill>
                  <w14:solidFill>
                    <w14:schemeClr w14:val="tx1"/>
                  </w14:solidFill>
                </w14:textFill>
              </w:rPr>
              <w:t xml:space="preserve">    </w:t>
            </w:r>
            <w:r>
              <w:rPr>
                <w:rFonts w:hint="eastAsia"/>
                <w:color w:val="000000" w:themeColor="text1"/>
                <w:sz w:val="20"/>
                <w:szCs w:val="20"/>
                <w14:textFill>
                  <w14:solidFill>
                    <w14:schemeClr w14:val="tx1"/>
                  </w14:solidFill>
                </w14:textFill>
              </w:rPr>
              <w:t>）</w:t>
            </w:r>
          </w:p>
        </w:tc>
        <w:tc>
          <w:tcPr>
            <w:tcW w:w="1276" w:type="dxa"/>
          </w:tcPr>
          <w:p>
            <w:pPr>
              <w:jc w:val="center"/>
              <w:rPr>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3" w:type="dxa"/>
          </w:tcPr>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caps/>
                <w:color w:val="000000" w:themeColor="text1"/>
                <w:kern w:val="2"/>
                <w:sz w:val="20"/>
                <w:szCs w:val="20"/>
                <w14:textFill>
                  <w14:solidFill>
                    <w14:schemeClr w14:val="tx1"/>
                  </w14:solidFill>
                </w14:textFill>
              </w:rPr>
              <w:t>两厂因隶属关系发生纠纷，某市国有资产管理委员会以市国资第</w:t>
            </w:r>
            <w:r>
              <w:rPr>
                <w:caps/>
                <w:color w:val="000000" w:themeColor="text1"/>
                <w:kern w:val="2"/>
                <w:sz w:val="20"/>
                <w:szCs w:val="20"/>
                <w14:textFill>
                  <w14:solidFill>
                    <w14:schemeClr w14:val="tx1"/>
                  </w14:solidFill>
                </w14:textFill>
              </w:rPr>
              <w:t>17</w:t>
            </w:r>
            <w:r>
              <w:rPr>
                <w:rFonts w:hint="eastAsia"/>
                <w:caps/>
                <w:color w:val="000000" w:themeColor="text1"/>
                <w:kern w:val="2"/>
                <w:sz w:val="20"/>
                <w:szCs w:val="20"/>
                <w14:textFill>
                  <w14:solidFill>
                    <w14:schemeClr w14:val="tx1"/>
                  </w14:solidFill>
                </w14:textFill>
              </w:rPr>
              <w:t>号文的形式对两厂产权作出界定。根据行政行为理论，该文件属于抽象行政行为。</w:t>
            </w:r>
            <w:r>
              <w:rPr>
                <w:rFonts w:hint="eastAsia" w:ascii="Times New Roman" w:hAnsi="Times New Roman"/>
                <w:caps/>
                <w:color w:val="000000" w:themeColor="text1"/>
                <w:sz w:val="20"/>
                <w:szCs w:val="20"/>
                <w14:textFill>
                  <w14:solidFill>
                    <w14:schemeClr w14:val="tx1"/>
                  </w14:solidFill>
                </w14:textFill>
              </w:rPr>
              <w:t>（</w:t>
            </w:r>
            <w:r>
              <w:rPr>
                <w:rFonts w:ascii="Times New Roman" w:hAnsi="Times New Roman"/>
                <w:caps/>
                <w:color w:val="000000" w:themeColor="text1"/>
                <w:sz w:val="20"/>
                <w:szCs w:val="20"/>
                <w14:textFill>
                  <w14:solidFill>
                    <w14:schemeClr w14:val="tx1"/>
                  </w14:solidFill>
                </w14:textFill>
              </w:rPr>
              <w:t xml:space="preserve">   </w:t>
            </w:r>
            <w:r>
              <w:rPr>
                <w:rFonts w:hint="eastAsia" w:ascii="Times New Roman" w:hAnsi="Times New Roman"/>
                <w:caps/>
                <w:color w:val="000000" w:themeColor="text1"/>
                <w:sz w:val="20"/>
                <w:szCs w:val="20"/>
                <w14:textFill>
                  <w14:solidFill>
                    <w14:schemeClr w14:val="tx1"/>
                  </w14:solidFill>
                </w14:textFill>
              </w:rPr>
              <w:t>）</w:t>
            </w:r>
          </w:p>
        </w:tc>
        <w:tc>
          <w:tcPr>
            <w:tcW w:w="1276" w:type="dxa"/>
          </w:tcPr>
          <w:p>
            <w:pPr>
              <w:jc w:val="center"/>
              <w:rPr>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3" w:type="dxa"/>
          </w:tcPr>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caps/>
                <w:color w:val="000000" w:themeColor="text1"/>
                <w:kern w:val="2"/>
                <w:sz w:val="20"/>
                <w:szCs w:val="20"/>
                <w14:textFill>
                  <w14:solidFill>
                    <w14:schemeClr w14:val="tx1"/>
                  </w14:solidFill>
                </w14:textFill>
              </w:rPr>
              <w:t>某地遭受特大洪水侵袭，为应对灾情，经全国人大常委会同意，国家防汛抗旱总指挥部可以规定临时性的行政管理措施。</w:t>
            </w:r>
            <w:r>
              <w:rPr>
                <w:rFonts w:hint="eastAsia" w:ascii="Times New Roman" w:hAnsi="Times New Roman"/>
                <w:caps/>
                <w:color w:val="000000" w:themeColor="text1"/>
                <w:sz w:val="20"/>
                <w:szCs w:val="20"/>
                <w14:textFill>
                  <w14:solidFill>
                    <w14:schemeClr w14:val="tx1"/>
                  </w14:solidFill>
                </w14:textFill>
              </w:rPr>
              <w:t>（</w:t>
            </w:r>
            <w:r>
              <w:rPr>
                <w:rFonts w:ascii="Times New Roman" w:hAnsi="Times New Roman"/>
                <w:caps/>
                <w:color w:val="000000" w:themeColor="text1"/>
                <w:sz w:val="20"/>
                <w:szCs w:val="20"/>
                <w14:textFill>
                  <w14:solidFill>
                    <w14:schemeClr w14:val="tx1"/>
                  </w14:solidFill>
                </w14:textFill>
              </w:rPr>
              <w:t xml:space="preserve">   </w:t>
            </w:r>
            <w:r>
              <w:rPr>
                <w:rFonts w:hint="eastAsia" w:ascii="Times New Roman" w:hAnsi="Times New Roman"/>
                <w:caps/>
                <w:color w:val="000000" w:themeColor="text1"/>
                <w:sz w:val="20"/>
                <w:szCs w:val="20"/>
                <w14:textFill>
                  <w14:solidFill>
                    <w14:schemeClr w14:val="tx1"/>
                  </w14:solidFill>
                </w14:textFill>
              </w:rPr>
              <w:t>）</w:t>
            </w:r>
          </w:p>
        </w:tc>
        <w:tc>
          <w:tcPr>
            <w:tcW w:w="1276" w:type="dxa"/>
          </w:tcPr>
          <w:p>
            <w:pPr>
              <w:jc w:val="center"/>
              <w:rPr>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3" w:type="dxa"/>
          </w:tcPr>
          <w:p>
            <w:pPr>
              <w:rPr>
                <w:rFonts w:ascii="Times New Roman" w:hAnsi="Times New Roman"/>
                <w:color w:val="000000" w:themeColor="text1"/>
                <w:sz w:val="20"/>
                <w:szCs w:val="20"/>
                <w14:textFill>
                  <w14:solidFill>
                    <w14:schemeClr w14:val="tx1"/>
                  </w14:solidFill>
                </w14:textFill>
              </w:rPr>
            </w:pPr>
            <w:r>
              <w:rPr>
                <w:rFonts w:ascii="Times New Roman" w:hAnsi="Times New Roman"/>
                <w:color w:val="000000" w:themeColor="text1"/>
                <w:sz w:val="20"/>
                <w:szCs w:val="20"/>
                <w14:textFill>
                  <w14:solidFill>
                    <w14:schemeClr w14:val="tx1"/>
                  </w14:solidFill>
                </w14:textFill>
              </w:rPr>
              <w:t>某县公安局民警对公安局作出的人事处理决定不服，可以向市公安局申请行政复议。（   ）</w:t>
            </w:r>
          </w:p>
        </w:tc>
        <w:tc>
          <w:tcPr>
            <w:tcW w:w="1276" w:type="dxa"/>
            <w:vAlign w:val="center"/>
          </w:tcPr>
          <w:p>
            <w:pPr>
              <w:spacing w:line="340" w:lineRule="exact"/>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3" w:type="dxa"/>
          </w:tcPr>
          <w:p>
            <w:pPr>
              <w:pStyle w:val="6"/>
              <w:adjustRightInd w:val="0"/>
              <w:snapToGrid w:val="0"/>
              <w:spacing w:after="0" w:line="360" w:lineRule="exact"/>
              <w:ind w:firstLine="0" w:firstLineChars="0"/>
              <w:rPr>
                <w:caps/>
                <w:color w:val="000000" w:themeColor="text1"/>
                <w:kern w:val="2"/>
                <w:sz w:val="20"/>
                <w:szCs w:val="20"/>
                <w14:textFill>
                  <w14:solidFill>
                    <w14:schemeClr w14:val="tx1"/>
                  </w14:solidFill>
                </w14:textFill>
              </w:rPr>
            </w:pPr>
            <w:r>
              <w:rPr>
                <w:rFonts w:hint="eastAsia"/>
                <w:caps/>
                <w:color w:val="000000" w:themeColor="text1"/>
                <w:kern w:val="2"/>
                <w:sz w:val="20"/>
                <w:szCs w:val="20"/>
                <w14:textFill>
                  <w14:solidFill>
                    <w14:schemeClr w14:val="tx1"/>
                  </w14:solidFill>
                </w14:textFill>
              </w:rPr>
              <w:t>适用简易程序审理的行政案件，由审判员一人独任审理。</w:t>
            </w:r>
            <w:r>
              <w:rPr>
                <w:rFonts w:hint="eastAsia" w:ascii="Times New Roman" w:hAnsi="Times New Roman"/>
                <w:caps/>
                <w:color w:val="000000" w:themeColor="text1"/>
                <w:sz w:val="20"/>
                <w:szCs w:val="20"/>
                <w14:textFill>
                  <w14:solidFill>
                    <w14:schemeClr w14:val="tx1"/>
                  </w14:solidFill>
                </w14:textFill>
              </w:rPr>
              <w:t>（</w:t>
            </w:r>
            <w:r>
              <w:rPr>
                <w:rFonts w:ascii="Times New Roman" w:hAnsi="Times New Roman"/>
                <w:caps/>
                <w:color w:val="000000" w:themeColor="text1"/>
                <w:sz w:val="20"/>
                <w:szCs w:val="20"/>
                <w14:textFill>
                  <w14:solidFill>
                    <w14:schemeClr w14:val="tx1"/>
                  </w14:solidFill>
                </w14:textFill>
              </w:rPr>
              <w:t xml:space="preserve">   </w:t>
            </w:r>
            <w:r>
              <w:rPr>
                <w:rFonts w:hint="eastAsia" w:ascii="Times New Roman" w:hAnsi="Times New Roman"/>
                <w:caps/>
                <w:color w:val="000000" w:themeColor="text1"/>
                <w:sz w:val="20"/>
                <w:szCs w:val="20"/>
                <w14:textFill>
                  <w14:solidFill>
                    <w14:schemeClr w14:val="tx1"/>
                  </w14:solidFill>
                </w14:textFill>
              </w:rPr>
              <w:t>）</w:t>
            </w:r>
          </w:p>
        </w:tc>
        <w:tc>
          <w:tcPr>
            <w:tcW w:w="1276" w:type="dxa"/>
          </w:tcPr>
          <w:p>
            <w:pPr>
              <w:jc w:val="center"/>
              <w:rPr>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3" w:type="dxa"/>
          </w:tcPr>
          <w:p>
            <w:pPr>
              <w:tabs>
                <w:tab w:val="left" w:pos="3741"/>
              </w:tabs>
              <w:snapToGrid w:val="0"/>
              <w:spacing w:line="340" w:lineRule="exact"/>
              <w:rPr>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通常情况下，当事人对行政处罚决定不服提起行政诉讼的，行政处罚应当不停止执行。</w:t>
            </w:r>
          </w:p>
        </w:tc>
        <w:tc>
          <w:tcPr>
            <w:tcW w:w="1276" w:type="dxa"/>
          </w:tcPr>
          <w:p>
            <w:pPr>
              <w:spacing w:line="340" w:lineRule="exact"/>
              <w:jc w:val="center"/>
              <w:rPr>
                <w:rFonts w:ascii="宋体" w:hAnsi="宋体"/>
                <w:caps/>
                <w:color w:val="000000" w:themeColor="text1"/>
                <w:sz w:val="20"/>
                <w:szCs w:val="20"/>
                <w14:textFill>
                  <w14:solidFill>
                    <w14:schemeClr w14:val="tx1"/>
                  </w14:solidFill>
                </w14:textFill>
              </w:rPr>
            </w:pPr>
            <w:r>
              <w:rPr>
                <w:rFonts w:ascii="宋体" w:hAnsi="宋体"/>
                <w:caps/>
                <w:color w:val="000000" w:themeColor="text1"/>
                <w:sz w:val="20"/>
                <w:szCs w:val="20"/>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3" w:type="dxa"/>
          </w:tcPr>
          <w:p>
            <w:pPr>
              <w:spacing w:line="340" w:lineRule="exact"/>
              <w:rPr>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未经送达领受程序的具体行政行为也具有法律约束力。</w:t>
            </w:r>
          </w:p>
        </w:tc>
        <w:tc>
          <w:tcPr>
            <w:tcW w:w="1276" w:type="dxa"/>
          </w:tcPr>
          <w:p>
            <w:pPr>
              <w:jc w:val="center"/>
              <w:rPr>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3" w:type="dxa"/>
          </w:tcPr>
          <w:p>
            <w:pPr>
              <w:rPr>
                <w:rFonts w:ascii="宋体"/>
                <w:caps/>
                <w:color w:val="000000" w:themeColor="text1"/>
                <w:sz w:val="20"/>
                <w:szCs w:val="20"/>
                <w14:textFill>
                  <w14:solidFill>
                    <w14:schemeClr w14:val="tx1"/>
                  </w14:solidFill>
                </w14:textFill>
              </w:rPr>
            </w:pPr>
            <w:r>
              <w:rPr>
                <w:rFonts w:hint="eastAsia" w:ascii="宋体" w:hAnsi="宋体"/>
                <w:caps/>
                <w:color w:val="000000" w:themeColor="text1"/>
                <w:sz w:val="20"/>
                <w:szCs w:val="20"/>
                <w14:textFill>
                  <w14:solidFill>
                    <w14:schemeClr w14:val="tx1"/>
                  </w14:solidFill>
                </w14:textFill>
              </w:rPr>
              <w:t>以行为受法律拘束程度为标准，可以将行政行为分为羁束行政行为与裁量行政行为。</w:t>
            </w:r>
          </w:p>
        </w:tc>
        <w:tc>
          <w:tcPr>
            <w:tcW w:w="1276" w:type="dxa"/>
          </w:tcPr>
          <w:p>
            <w:pPr>
              <w:jc w:val="center"/>
              <w:rPr>
                <w:rFonts w:ascii="宋体" w:hAnsi="宋体"/>
                <w:caps/>
                <w:color w:val="000000" w:themeColor="text1"/>
                <w:sz w:val="20"/>
                <w:szCs w:val="20"/>
                <w14:textFill>
                  <w14:solidFill>
                    <w14:schemeClr w14:val="tx1"/>
                  </w14:solidFill>
                </w14:textFill>
              </w:rPr>
            </w:pPr>
            <w:r>
              <w:rPr>
                <w:rFonts w:ascii="宋体" w:hAnsi="宋体"/>
                <w:caps/>
                <w:color w:val="000000" w:themeColor="text1"/>
                <w:sz w:val="20"/>
                <w:szCs w:val="20"/>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3" w:type="dxa"/>
            <w:vAlign w:val="center"/>
          </w:tcPr>
          <w:p>
            <w:pPr>
              <w:rPr>
                <w:rFonts w:ascii="Times New Roman" w:hAnsi="Times New Roman"/>
                <w:color w:val="000000" w:themeColor="text1"/>
                <w14:textFill>
                  <w14:solidFill>
                    <w14:schemeClr w14:val="tx1"/>
                  </w14:solidFill>
                </w14:textFill>
              </w:rPr>
            </w:pPr>
            <w:r>
              <w:rPr>
                <w:rFonts w:ascii="Times New Roman" w:hAnsi="Times New Roman"/>
                <w:color w:val="000000" w:themeColor="text1"/>
                <w:sz w:val="20"/>
                <w:szCs w:val="20"/>
                <w14:textFill>
                  <w14:solidFill>
                    <w14:schemeClr w14:val="tx1"/>
                  </w14:solidFill>
                </w14:textFill>
              </w:rPr>
              <w:t>在行政法上，行政主体包括行政机关及其公务员。（   ）</w:t>
            </w:r>
          </w:p>
        </w:tc>
        <w:tc>
          <w:tcPr>
            <w:tcW w:w="1276" w:type="dxa"/>
            <w:vAlign w:val="center"/>
          </w:tcPr>
          <w:p>
            <w:pPr>
              <w:jc w:val="center"/>
              <w:rPr>
                <w:rFonts w:asciiTheme="minorEastAsia" w:hAnsiTheme="minorEastAsia" w:eastAsiaTheme="minorEastAsia"/>
                <w:caps/>
                <w:color w:val="000000" w:themeColor="text1"/>
                <w:sz w:val="20"/>
                <w:szCs w:val="20"/>
                <w14:textFill>
                  <w14:solidFill>
                    <w14:schemeClr w14:val="tx1"/>
                  </w14:solidFill>
                </w14:textFill>
              </w:rPr>
            </w:pPr>
            <w:r>
              <w:rPr>
                <w:rFonts w:asciiTheme="minorEastAsia" w:hAnsiTheme="minorEastAsia" w:eastAsiaTheme="minorEastAsia"/>
                <w:caps/>
                <w:color w:val="000000" w:themeColor="text1"/>
                <w:sz w:val="20"/>
                <w:szCs w:val="20"/>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3" w:type="dxa"/>
          </w:tcPr>
          <w:p>
            <w:pPr>
              <w:rPr>
                <w:rFonts w:ascii="宋体"/>
                <w:color w:val="000000" w:themeColor="text1"/>
                <w:sz w:val="20"/>
                <w:szCs w:val="20"/>
                <w14:textFill>
                  <w14:solidFill>
                    <w14:schemeClr w14:val="tx1"/>
                  </w14:solidFill>
                </w14:textFill>
              </w:rPr>
            </w:pPr>
            <w:r>
              <w:rPr>
                <w:rFonts w:hint="eastAsia"/>
                <w:color w:val="000000" w:themeColor="text1"/>
                <w:sz w:val="20"/>
                <w:szCs w:val="20"/>
                <w14:textFill>
                  <w14:solidFill>
                    <w14:schemeClr w14:val="tx1"/>
                  </w14:solidFill>
                </w14:textFill>
              </w:rPr>
              <w:t>只有对行政处罚明显不当或者其他行政行为涉及对款额的确定、认定确有错误的案件，人民法院才可以判决变更。（</w:t>
            </w:r>
            <w:r>
              <w:rPr>
                <w:color w:val="000000" w:themeColor="text1"/>
                <w:sz w:val="20"/>
                <w:szCs w:val="20"/>
                <w14:textFill>
                  <w14:solidFill>
                    <w14:schemeClr w14:val="tx1"/>
                  </w14:solidFill>
                </w14:textFill>
              </w:rPr>
              <w:t xml:space="preserve">    </w:t>
            </w:r>
            <w:r>
              <w:rPr>
                <w:rFonts w:hint="eastAsia"/>
                <w:color w:val="000000" w:themeColor="text1"/>
                <w:sz w:val="20"/>
                <w:szCs w:val="20"/>
                <w14:textFill>
                  <w14:solidFill>
                    <w14:schemeClr w14:val="tx1"/>
                  </w14:solidFill>
                </w14:textFill>
              </w:rPr>
              <w:t>）</w:t>
            </w:r>
          </w:p>
        </w:tc>
        <w:tc>
          <w:tcPr>
            <w:tcW w:w="1276" w:type="dxa"/>
            <w:vAlign w:val="center"/>
          </w:tcPr>
          <w:p>
            <w:pPr>
              <w:spacing w:line="340" w:lineRule="exact"/>
              <w:jc w:val="center"/>
              <w:rPr>
                <w:rFonts w:ascii="宋体"/>
                <w:caps/>
                <w:color w:val="000000" w:themeColor="text1"/>
                <w:sz w:val="20"/>
                <w:szCs w:val="20"/>
                <w14:textFill>
                  <w14:solidFill>
                    <w14:schemeClr w14:val="tx1"/>
                  </w14:solidFill>
                </w14:textFill>
              </w:rPr>
            </w:pPr>
            <w:r>
              <w:rPr>
                <w:rFonts w:ascii="宋体" w:hAnsi="宋体"/>
                <w:color w:val="000000" w:themeColor="text1"/>
                <w:szCs w:val="21"/>
                <w14:textFill>
                  <w14:solidFill>
                    <w14:schemeClr w14:val="tx1"/>
                  </w14:solidFill>
                </w14:textFill>
              </w:rPr>
              <w:t>A</w:t>
            </w:r>
          </w:p>
        </w:tc>
      </w:tr>
    </w:tbl>
    <w:p>
      <w:pPr>
        <w:rPr>
          <w:rFonts w:ascii="宋体"/>
          <w:color w:val="000000" w:themeColor="text1"/>
          <w:szCs w:val="21"/>
          <w14:textFill>
            <w14:solidFill>
              <w14:schemeClr w14:val="tx1"/>
            </w14:solidFill>
          </w14:textFill>
        </w:rPr>
      </w:pPr>
    </w:p>
    <w:p>
      <w:pP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四、填空题</w:t>
      </w:r>
    </w:p>
    <w:tbl>
      <w:tblPr>
        <w:tblStyle w:val="7"/>
        <w:tblpPr w:leftFromText="180" w:rightFromText="180" w:vertAnchor="text" w:tblpY="1"/>
        <w:tblOverlap w:val="never"/>
        <w:tblW w:w="87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62"/>
        <w:gridCol w:w="27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62" w:type="dxa"/>
          </w:tcPr>
          <w:p>
            <w:pPr>
              <w:jc w:val="center"/>
              <w:rPr>
                <w:b/>
                <w:color w:val="000000" w:themeColor="text1"/>
                <w:sz w:val="20"/>
                <w:szCs w:val="20"/>
                <w14:textFill>
                  <w14:solidFill>
                    <w14:schemeClr w14:val="tx1"/>
                  </w14:solidFill>
                </w14:textFill>
              </w:rPr>
            </w:pPr>
            <w:r>
              <w:rPr>
                <w:rFonts w:hint="eastAsia"/>
                <w:b/>
                <w:color w:val="000000" w:themeColor="text1"/>
                <w:sz w:val="20"/>
                <w:szCs w:val="20"/>
                <w14:textFill>
                  <w14:solidFill>
                    <w14:schemeClr w14:val="tx1"/>
                  </w14:solidFill>
                </w14:textFill>
              </w:rPr>
              <w:t>填空题</w:t>
            </w:r>
          </w:p>
        </w:tc>
        <w:tc>
          <w:tcPr>
            <w:tcW w:w="2727" w:type="dxa"/>
            <w:vAlign w:val="center"/>
          </w:tcPr>
          <w:p>
            <w:pPr>
              <w:spacing w:line="340" w:lineRule="exact"/>
              <w:jc w:val="center"/>
              <w:rPr>
                <w:rFonts w:ascii="宋体" w:hAnsi="宋体"/>
                <w:b/>
                <w:caps/>
                <w:color w:val="000000" w:themeColor="text1"/>
                <w:sz w:val="20"/>
                <w:szCs w:val="20"/>
                <w14:textFill>
                  <w14:solidFill>
                    <w14:schemeClr w14:val="tx1"/>
                  </w14:solidFill>
                </w14:textFill>
              </w:rPr>
            </w:pPr>
            <w:r>
              <w:rPr>
                <w:rFonts w:hint="eastAsia" w:ascii="宋体" w:hAnsi="宋体"/>
                <w:b/>
                <w:caps/>
                <w:color w:val="000000" w:themeColor="text1"/>
                <w:sz w:val="20"/>
                <w:szCs w:val="20"/>
                <w14:textFill>
                  <w14:solidFill>
                    <w14:schemeClr w14:val="tx1"/>
                  </w14:solidFill>
                </w14:textFill>
              </w:rPr>
              <w:t>参考答案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2" w:type="dxa"/>
          </w:tcPr>
          <w:p>
            <w:pPr>
              <w:rPr>
                <w:color w:val="000000" w:themeColor="text1"/>
                <w14:textFill>
                  <w14:solidFill>
                    <w14:schemeClr w14:val="tx1"/>
                  </w14:solidFill>
                </w14:textFill>
              </w:rPr>
            </w:pPr>
            <w:r>
              <w:rPr>
                <w:color w:val="000000" w:themeColor="text1"/>
                <w:sz w:val="20"/>
                <w:szCs w:val="20"/>
                <w14:textFill>
                  <w14:solidFill>
                    <w14:schemeClr w14:val="tx1"/>
                  </w14:solidFill>
                </w14:textFill>
              </w:rPr>
              <w:t>2018</w:t>
            </w:r>
            <w:r>
              <w:rPr>
                <w:rFonts w:hint="eastAsia"/>
                <w:color w:val="000000" w:themeColor="text1"/>
                <w:sz w:val="20"/>
                <w:szCs w:val="20"/>
                <w14:textFill>
                  <w14:solidFill>
                    <w14:schemeClr w14:val="tx1"/>
                  </w14:solidFill>
                </w14:textFill>
              </w:rPr>
              <w:t>年，李克强总理多次就药品降价保供问题作出批示，要求有关部门多措并举打通中间环节，加快已在境外上市新药审批、落实抗癌药降价措施，“让更多群众早用上、用得起这些好药”。总理有关加快新药审评、审批工作的指示，主要体现了行政法上的</w:t>
            </w:r>
            <w:r>
              <w:rPr>
                <w:color w:val="000000" w:themeColor="text1"/>
                <w:sz w:val="20"/>
                <w:szCs w:val="20"/>
                <w:u w:val="single"/>
                <w14:textFill>
                  <w14:solidFill>
                    <w14:schemeClr w14:val="tx1"/>
                  </w14:solidFill>
                </w14:textFill>
              </w:rPr>
              <w:t xml:space="preserve">          </w:t>
            </w:r>
            <w:r>
              <w:rPr>
                <w:rFonts w:hint="eastAsia"/>
                <w:color w:val="000000" w:themeColor="text1"/>
                <w:sz w:val="20"/>
                <w:szCs w:val="20"/>
                <w14:textFill>
                  <w14:solidFill>
                    <w14:schemeClr w14:val="tx1"/>
                  </w14:solidFill>
                </w14:textFill>
              </w:rPr>
              <w:t>原则。</w:t>
            </w:r>
          </w:p>
        </w:tc>
        <w:tc>
          <w:tcPr>
            <w:tcW w:w="2727" w:type="dxa"/>
            <w:vAlign w:val="center"/>
          </w:tcPr>
          <w:p>
            <w:pPr>
              <w:spacing w:line="340" w:lineRule="exact"/>
              <w:rPr>
                <w:rFonts w:ascii="宋体"/>
                <w:caps/>
                <w:color w:val="000000" w:themeColor="text1"/>
                <w:sz w:val="20"/>
                <w:szCs w:val="20"/>
                <w14:textFill>
                  <w14:solidFill>
                    <w14:schemeClr w14:val="tx1"/>
                  </w14:solidFill>
                </w14:textFill>
              </w:rPr>
            </w:pPr>
            <w:r>
              <w:rPr>
                <w:rFonts w:hint="eastAsia" w:ascii="宋体" w:hAnsi="宋体"/>
                <w:caps/>
                <w:color w:val="000000" w:themeColor="text1"/>
                <w:sz w:val="20"/>
                <w:szCs w:val="20"/>
                <w14:textFill>
                  <w14:solidFill>
                    <w14:schemeClr w14:val="tx1"/>
                  </w14:solidFill>
                </w14:textFill>
              </w:rPr>
              <w:t>高效便民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2" w:type="dxa"/>
          </w:tcPr>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color w:val="000000" w:themeColor="text1"/>
                <w:kern w:val="2"/>
                <w:sz w:val="20"/>
                <w:szCs w:val="20"/>
                <w14:textFill>
                  <w14:solidFill>
                    <w14:schemeClr w14:val="tx1"/>
                  </w14:solidFill>
                </w14:textFill>
              </w:rPr>
              <w:t>按照《公务员法》的规定，未满</w:t>
            </w:r>
            <w:r>
              <w:rPr>
                <w:color w:val="000000" w:themeColor="text1"/>
                <w:kern w:val="2"/>
                <w:sz w:val="20"/>
                <w:szCs w:val="20"/>
                <w:u w:val="single"/>
                <w14:textFill>
                  <w14:solidFill>
                    <w14:schemeClr w14:val="tx1"/>
                  </w14:solidFill>
                </w14:textFill>
              </w:rPr>
              <w:t xml:space="preserve">          </w:t>
            </w:r>
            <w:r>
              <w:rPr>
                <w:rFonts w:hint="eastAsia"/>
                <w:color w:val="000000" w:themeColor="text1"/>
                <w:kern w:val="2"/>
                <w:sz w:val="20"/>
                <w:szCs w:val="20"/>
                <w14:textFill>
                  <w14:solidFill>
                    <w14:schemeClr w14:val="tx1"/>
                  </w14:solidFill>
                </w14:textFill>
              </w:rPr>
              <w:t>周岁的公民，不能被录用为公务员。</w:t>
            </w:r>
          </w:p>
        </w:tc>
        <w:tc>
          <w:tcPr>
            <w:tcW w:w="2727" w:type="dxa"/>
          </w:tcPr>
          <w:p>
            <w:pPr>
              <w:spacing w:line="340" w:lineRule="exact"/>
              <w:rPr>
                <w:rFonts w:ascii="宋体" w:hAnsi="宋体"/>
                <w:caps/>
                <w:color w:val="000000" w:themeColor="text1"/>
                <w:sz w:val="20"/>
                <w:szCs w:val="20"/>
                <w14:textFill>
                  <w14:solidFill>
                    <w14:schemeClr w14:val="tx1"/>
                  </w14:solidFill>
                </w14:textFill>
              </w:rPr>
            </w:pPr>
            <w:r>
              <w:rPr>
                <w:rFonts w:ascii="宋体" w:hAnsi="宋体"/>
                <w:caps/>
                <w:color w:val="000000" w:themeColor="text1"/>
                <w:sz w:val="20"/>
                <w:szCs w:val="20"/>
                <w14:textFill>
                  <w14:solidFill>
                    <w14:schemeClr w14:val="tx1"/>
                  </w14:solidFill>
                </w14:textFill>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2" w:type="dxa"/>
          </w:tcPr>
          <w:p>
            <w:pPr>
              <w:tabs>
                <w:tab w:val="left" w:pos="3741"/>
              </w:tabs>
              <w:snapToGrid w:val="0"/>
              <w:spacing w:line="340" w:lineRule="exact"/>
              <w:rPr>
                <w:caps/>
                <w:color w:val="000000" w:themeColor="text1"/>
                <w:sz w:val="20"/>
                <w:szCs w:val="20"/>
                <w14:textFill>
                  <w14:solidFill>
                    <w14:schemeClr w14:val="tx1"/>
                  </w14:solidFill>
                </w14:textFill>
              </w:rPr>
            </w:pPr>
            <w:r>
              <w:rPr>
                <w:rFonts w:hint="eastAsia" w:ascii="宋体" w:hAnsi="宋体"/>
                <w:caps/>
                <w:color w:val="000000" w:themeColor="text1"/>
                <w:sz w:val="20"/>
                <w:szCs w:val="20"/>
                <w14:textFill>
                  <w14:solidFill>
                    <w14:schemeClr w14:val="tx1"/>
                  </w14:solidFill>
                </w14:textFill>
              </w:rPr>
              <w:t>根据《地方各级人民代表大会和地方各级人民政府组织法》，地方各级人民政府的派出机关包括</w:t>
            </w:r>
            <w:r>
              <w:rPr>
                <w:rFonts w:ascii="宋体" w:hAnsi="宋体"/>
                <w:caps/>
                <w:color w:val="000000" w:themeColor="text1"/>
                <w:sz w:val="20"/>
                <w:szCs w:val="20"/>
                <w:u w:val="single"/>
                <w14:textFill>
                  <w14:solidFill>
                    <w14:schemeClr w14:val="tx1"/>
                  </w14:solidFill>
                </w14:textFill>
              </w:rPr>
              <w:t xml:space="preserve">          </w:t>
            </w:r>
            <w:r>
              <w:rPr>
                <w:rFonts w:hint="eastAsia" w:ascii="宋体" w:hAnsi="宋体"/>
                <w:caps/>
                <w:color w:val="000000" w:themeColor="text1"/>
                <w:sz w:val="20"/>
                <w:szCs w:val="20"/>
                <w14:textFill>
                  <w14:solidFill>
                    <w14:schemeClr w14:val="tx1"/>
                  </w14:solidFill>
                </w14:textFill>
              </w:rPr>
              <w:t>、</w:t>
            </w:r>
            <w:r>
              <w:rPr>
                <w:rFonts w:ascii="宋体" w:hAnsi="宋体"/>
                <w:caps/>
                <w:color w:val="000000" w:themeColor="text1"/>
                <w:sz w:val="20"/>
                <w:szCs w:val="20"/>
                <w:u w:val="single"/>
                <w14:textFill>
                  <w14:solidFill>
                    <w14:schemeClr w14:val="tx1"/>
                  </w14:solidFill>
                </w14:textFill>
              </w:rPr>
              <w:t xml:space="preserve">          </w:t>
            </w:r>
            <w:r>
              <w:rPr>
                <w:rFonts w:hint="eastAsia" w:ascii="宋体" w:hAnsi="宋体"/>
                <w:caps/>
                <w:color w:val="000000" w:themeColor="text1"/>
                <w:sz w:val="20"/>
                <w:szCs w:val="20"/>
                <w14:textFill>
                  <w14:solidFill>
                    <w14:schemeClr w14:val="tx1"/>
                  </w14:solidFill>
                </w14:textFill>
              </w:rPr>
              <w:t>和街道办事处。</w:t>
            </w:r>
          </w:p>
        </w:tc>
        <w:tc>
          <w:tcPr>
            <w:tcW w:w="2727" w:type="dxa"/>
          </w:tcPr>
          <w:p>
            <w:pPr>
              <w:tabs>
                <w:tab w:val="left" w:pos="3741"/>
              </w:tabs>
              <w:snapToGrid w:val="0"/>
              <w:spacing w:line="340" w:lineRule="exact"/>
              <w:rPr>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行政公署</w:t>
            </w:r>
            <w:r>
              <w:rPr>
                <w:caps/>
                <w:color w:val="000000" w:themeColor="text1"/>
                <w:sz w:val="20"/>
                <w:szCs w:val="20"/>
                <w14:textFill>
                  <w14:solidFill>
                    <w14:schemeClr w14:val="tx1"/>
                  </w14:solidFill>
                </w14:textFill>
              </w:rPr>
              <w:t>;</w:t>
            </w:r>
            <w:r>
              <w:rPr>
                <w:rFonts w:hint="eastAsia"/>
                <w:caps/>
                <w:color w:val="000000" w:themeColor="text1"/>
                <w:sz w:val="20"/>
                <w:szCs w:val="20"/>
                <w14:textFill>
                  <w14:solidFill>
                    <w14:schemeClr w14:val="tx1"/>
                  </w14:solidFill>
                </w14:textFill>
              </w:rPr>
              <w:t>区公所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2" w:type="dxa"/>
          </w:tcPr>
          <w:p>
            <w:pPr>
              <w:rPr>
                <w:rFonts w:ascii="Times New Roman" w:hAnsi="Times New Roman"/>
                <w:color w:val="000000" w:themeColor="text1"/>
                <w:sz w:val="20"/>
                <w:szCs w:val="20"/>
                <w14:textFill>
                  <w14:solidFill>
                    <w14:schemeClr w14:val="tx1"/>
                  </w14:solidFill>
                </w14:textFill>
              </w:rPr>
            </w:pPr>
            <w:r>
              <w:rPr>
                <w:rFonts w:ascii="Times New Roman" w:hAnsi="Times New Roman"/>
                <w:color w:val="000000" w:themeColor="text1"/>
                <w:sz w:val="20"/>
                <w:szCs w:val="20"/>
                <w14:textFill>
                  <w14:solidFill>
                    <w14:schemeClr w14:val="tx1"/>
                  </w14:solidFill>
                </w14:textFill>
              </w:rPr>
              <w:t>根据《行政强制法》，行政机关不得在夜间或者</w:t>
            </w:r>
            <w:r>
              <w:rPr>
                <w:rFonts w:ascii="Times New Roman" w:hAnsi="Times New Roman"/>
                <w:color w:val="000000" w:themeColor="text1"/>
                <w:sz w:val="20"/>
                <w:szCs w:val="20"/>
                <w:u w:val="single"/>
                <w14:textFill>
                  <w14:solidFill>
                    <w14:schemeClr w14:val="tx1"/>
                  </w14:solidFill>
                </w14:textFill>
              </w:rPr>
              <w:t xml:space="preserve">          </w:t>
            </w:r>
            <w:r>
              <w:rPr>
                <w:rFonts w:ascii="Times New Roman" w:hAnsi="Times New Roman"/>
                <w:color w:val="000000" w:themeColor="text1"/>
                <w:sz w:val="20"/>
                <w:szCs w:val="20"/>
                <w14:textFill>
                  <w14:solidFill>
                    <w14:schemeClr w14:val="tx1"/>
                  </w14:solidFill>
                </w14:textFill>
              </w:rPr>
              <w:t>实施行政强制执行。</w:t>
            </w:r>
          </w:p>
        </w:tc>
        <w:tc>
          <w:tcPr>
            <w:tcW w:w="2727" w:type="dxa"/>
            <w:vAlign w:val="center"/>
          </w:tcPr>
          <w:p>
            <w:pPr>
              <w:jc w:val="left"/>
              <w:rPr>
                <w:rFonts w:ascii="Times New Roman" w:hAnsi="Times New Roman"/>
                <w:caps/>
                <w:color w:val="000000" w:themeColor="text1"/>
                <w:sz w:val="20"/>
                <w:szCs w:val="20"/>
                <w14:textFill>
                  <w14:solidFill>
                    <w14:schemeClr w14:val="tx1"/>
                  </w14:solidFill>
                </w14:textFill>
              </w:rPr>
            </w:pPr>
            <w:r>
              <w:rPr>
                <w:rFonts w:ascii="Times New Roman" w:hAnsi="Times New Roman"/>
                <w:caps/>
                <w:color w:val="000000" w:themeColor="text1"/>
                <w:sz w:val="20"/>
                <w:szCs w:val="20"/>
                <w14:textFill>
                  <w14:solidFill>
                    <w14:schemeClr w14:val="tx1"/>
                  </w14:solidFill>
                </w14:textFill>
              </w:rPr>
              <w:t>法定节假日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2" w:type="dxa"/>
          </w:tcPr>
          <w:p>
            <w:pPr>
              <w:rPr>
                <w:color w:val="000000" w:themeColor="text1"/>
                <w14:textFill>
                  <w14:solidFill>
                    <w14:schemeClr w14:val="tx1"/>
                  </w14:solidFill>
                </w14:textFill>
              </w:rPr>
            </w:pPr>
            <w:r>
              <w:rPr>
                <w:rFonts w:hint="eastAsia"/>
                <w:color w:val="000000" w:themeColor="text1"/>
                <w:sz w:val="20"/>
                <w:szCs w:val="20"/>
                <w14:textFill>
                  <w14:solidFill>
                    <w14:schemeClr w14:val="tx1"/>
                  </w14:solidFill>
                </w14:textFill>
              </w:rPr>
              <w:t>根据《行政诉讼法》，当事人对人民法院不予立案的裁定不服的，可以提起</w:t>
            </w:r>
            <w:bookmarkStart w:id="3" w:name="_Hlk534022781"/>
            <w:r>
              <w:rPr>
                <w:color w:val="000000" w:themeColor="text1"/>
                <w:sz w:val="20"/>
                <w:szCs w:val="20"/>
                <w:u w:val="single"/>
                <w14:textFill>
                  <w14:solidFill>
                    <w14:schemeClr w14:val="tx1"/>
                  </w14:solidFill>
                </w14:textFill>
              </w:rPr>
              <w:t xml:space="preserve">          </w:t>
            </w:r>
            <w:r>
              <w:rPr>
                <w:rFonts w:hint="eastAsia"/>
                <w:color w:val="000000" w:themeColor="text1"/>
                <w:sz w:val="20"/>
                <w:szCs w:val="20"/>
                <w14:textFill>
                  <w14:solidFill>
                    <w14:schemeClr w14:val="tx1"/>
                  </w14:solidFill>
                </w14:textFill>
              </w:rPr>
              <w:t>。</w:t>
            </w:r>
            <w:bookmarkEnd w:id="3"/>
          </w:p>
        </w:tc>
        <w:tc>
          <w:tcPr>
            <w:tcW w:w="2727" w:type="dxa"/>
            <w:vAlign w:val="center"/>
          </w:tcPr>
          <w:p>
            <w:pPr>
              <w:rPr>
                <w:rFonts w:ascii="宋体"/>
                <w:caps/>
                <w:color w:val="000000" w:themeColor="text1"/>
                <w:sz w:val="20"/>
                <w:szCs w:val="20"/>
                <w14:textFill>
                  <w14:solidFill>
                    <w14:schemeClr w14:val="tx1"/>
                  </w14:solidFill>
                </w14:textFill>
              </w:rPr>
            </w:pPr>
            <w:r>
              <w:rPr>
                <w:rFonts w:hint="eastAsia" w:ascii="宋体" w:hAnsi="宋体"/>
                <w:caps/>
                <w:color w:val="000000" w:themeColor="text1"/>
                <w:sz w:val="20"/>
                <w:szCs w:val="20"/>
                <w14:textFill>
                  <w14:solidFill>
                    <w14:schemeClr w14:val="tx1"/>
                  </w14:solidFill>
                </w14:textFill>
              </w:rPr>
              <w:t>上诉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2" w:type="dxa"/>
          </w:tcPr>
          <w:p>
            <w:pPr>
              <w:snapToGrid w:val="0"/>
              <w:spacing w:line="340" w:lineRule="exact"/>
              <w:rPr>
                <w:color w:val="000000" w:themeColor="text1"/>
                <w:sz w:val="20"/>
                <w:szCs w:val="20"/>
                <w14:textFill>
                  <w14:solidFill>
                    <w14:schemeClr w14:val="tx1"/>
                  </w14:solidFill>
                </w14:textFill>
              </w:rPr>
            </w:pPr>
            <w:r>
              <w:rPr>
                <w:rFonts w:hint="eastAsia"/>
                <w:color w:val="000000" w:themeColor="text1"/>
                <w:sz w:val="20"/>
                <w:szCs w:val="20"/>
                <w14:textFill>
                  <w14:solidFill>
                    <w14:schemeClr w14:val="tx1"/>
                  </w14:solidFill>
                </w14:textFill>
              </w:rPr>
              <w:t>根据《行政诉讼法》的规定，原告未按规定的期限预交案件受理费，又不提出缓交、减交、免交申请，或者提出申请未获批准的，法院应当按</w:t>
            </w:r>
          </w:p>
          <w:p>
            <w:pPr>
              <w:snapToGrid w:val="0"/>
              <w:spacing w:line="340" w:lineRule="exact"/>
              <w:rPr>
                <w:caps/>
                <w:color w:val="000000" w:themeColor="text1"/>
                <w:sz w:val="20"/>
                <w:szCs w:val="20"/>
                <w14:textFill>
                  <w14:solidFill>
                    <w14:schemeClr w14:val="tx1"/>
                  </w14:solidFill>
                </w14:textFill>
              </w:rPr>
            </w:pPr>
            <w:r>
              <w:rPr>
                <w:color w:val="000000" w:themeColor="text1"/>
                <w:sz w:val="20"/>
                <w:szCs w:val="20"/>
                <w:u w:val="single"/>
                <w14:textFill>
                  <w14:solidFill>
                    <w14:schemeClr w14:val="tx1"/>
                  </w14:solidFill>
                </w14:textFill>
              </w:rPr>
              <w:t xml:space="preserve">          </w:t>
            </w:r>
            <w:r>
              <w:rPr>
                <w:rFonts w:hint="eastAsia"/>
                <w:color w:val="000000" w:themeColor="text1"/>
                <w:sz w:val="20"/>
                <w:szCs w:val="20"/>
                <w14:textFill>
                  <w14:solidFill>
                    <w14:schemeClr w14:val="tx1"/>
                  </w14:solidFill>
                </w14:textFill>
              </w:rPr>
              <w:t>处理。</w:t>
            </w:r>
          </w:p>
        </w:tc>
        <w:tc>
          <w:tcPr>
            <w:tcW w:w="2727" w:type="dxa"/>
          </w:tcPr>
          <w:p>
            <w:pPr>
              <w:snapToGrid w:val="0"/>
              <w:spacing w:line="340" w:lineRule="exact"/>
              <w:rPr>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自动撤诉（撤诉）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2" w:type="dxa"/>
          </w:tcPr>
          <w:p>
            <w:pPr>
              <w:spacing w:line="340" w:lineRule="exact"/>
              <w:jc w:val="left"/>
              <w:rPr>
                <w:rFonts w:ascii="宋体"/>
                <w:caps/>
                <w:color w:val="000000" w:themeColor="text1"/>
                <w:sz w:val="20"/>
                <w:szCs w:val="20"/>
                <w14:textFill>
                  <w14:solidFill>
                    <w14:schemeClr w14:val="tx1"/>
                  </w14:solidFill>
                </w14:textFill>
              </w:rPr>
            </w:pPr>
            <w:r>
              <w:rPr>
                <w:rFonts w:hint="eastAsia" w:ascii="宋体" w:hAnsi="宋体"/>
                <w:caps/>
                <w:color w:val="000000" w:themeColor="text1"/>
                <w:sz w:val="20"/>
                <w:szCs w:val="20"/>
                <w14:textFill>
                  <w14:solidFill>
                    <w14:schemeClr w14:val="tx1"/>
                  </w14:solidFill>
                </w14:textFill>
              </w:rPr>
              <w:t>根据《行政许可法》的规定，经国务院批准，</w:t>
            </w:r>
            <w:r>
              <w:rPr>
                <w:rFonts w:ascii="宋体" w:hAnsi="宋体"/>
                <w:caps/>
                <w:color w:val="000000" w:themeColor="text1"/>
                <w:sz w:val="20"/>
                <w:szCs w:val="20"/>
                <w:u w:val="single"/>
                <w14:textFill>
                  <w14:solidFill>
                    <w14:schemeClr w14:val="tx1"/>
                  </w14:solidFill>
                </w14:textFill>
              </w:rPr>
              <w:t xml:space="preserve">          </w:t>
            </w:r>
            <w:r>
              <w:rPr>
                <w:rFonts w:hint="eastAsia" w:ascii="宋体" w:hAnsi="宋体"/>
                <w:caps/>
                <w:color w:val="000000" w:themeColor="text1"/>
                <w:sz w:val="20"/>
                <w:szCs w:val="20"/>
                <w14:textFill>
                  <w14:solidFill>
                    <w14:schemeClr w14:val="tx1"/>
                  </w14:solidFill>
                </w14:textFill>
              </w:rPr>
              <w:t>可以依照精简、统一、效能的原则，决定由一个行政机关行使有关行政机关的行政许可权。</w:t>
            </w:r>
          </w:p>
        </w:tc>
        <w:tc>
          <w:tcPr>
            <w:tcW w:w="2727" w:type="dxa"/>
          </w:tcPr>
          <w:p>
            <w:pPr>
              <w:rPr>
                <w:color w:val="000000" w:themeColor="text1"/>
                <w:sz w:val="20"/>
                <w:szCs w:val="20"/>
                <w14:textFill>
                  <w14:solidFill>
                    <w14:schemeClr w14:val="tx1"/>
                  </w14:solidFill>
                </w14:textFill>
              </w:rPr>
            </w:pPr>
            <w:r>
              <w:rPr>
                <w:rFonts w:hint="eastAsia"/>
                <w:color w:val="000000" w:themeColor="text1"/>
                <w:sz w:val="20"/>
                <w:szCs w:val="20"/>
                <w14:textFill>
                  <w14:solidFill>
                    <w14:schemeClr w14:val="tx1"/>
                  </w14:solidFill>
                </w14:textFill>
              </w:rPr>
              <w:t>省、自治区、直辖市人民政府（省级人民政府）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2" w:type="dxa"/>
          </w:tcPr>
          <w:p>
            <w:pPr>
              <w:spacing w:line="340" w:lineRule="exact"/>
              <w:jc w:val="left"/>
              <w:rPr>
                <w:rFonts w:ascii="宋体"/>
                <w:caps/>
                <w:color w:val="000000" w:themeColor="text1"/>
                <w:sz w:val="20"/>
                <w:szCs w:val="20"/>
                <w14:textFill>
                  <w14:solidFill>
                    <w14:schemeClr w14:val="tx1"/>
                  </w14:solidFill>
                </w14:textFill>
              </w:rPr>
            </w:pPr>
            <w:r>
              <w:rPr>
                <w:rFonts w:hint="eastAsia" w:ascii="宋体" w:hAnsi="宋体"/>
                <w:caps/>
                <w:color w:val="000000" w:themeColor="text1"/>
                <w:sz w:val="20"/>
                <w:szCs w:val="20"/>
                <w14:textFill>
                  <w14:solidFill>
                    <w14:schemeClr w14:val="tx1"/>
                  </w14:solidFill>
                </w14:textFill>
              </w:rPr>
              <w:t>根据行政职权的产生方式，行政主体可以划分为</w:t>
            </w:r>
            <w:r>
              <w:rPr>
                <w:rFonts w:ascii="宋体" w:hAnsi="宋体"/>
                <w:caps/>
                <w:color w:val="000000" w:themeColor="text1"/>
                <w:sz w:val="20"/>
                <w:szCs w:val="20"/>
                <w:u w:val="single"/>
                <w14:textFill>
                  <w14:solidFill>
                    <w14:schemeClr w14:val="tx1"/>
                  </w14:solidFill>
                </w14:textFill>
              </w:rPr>
              <w:t xml:space="preserve">          </w:t>
            </w:r>
            <w:r>
              <w:rPr>
                <w:rFonts w:hint="eastAsia" w:ascii="宋体" w:hAnsi="宋体"/>
                <w:caps/>
                <w:color w:val="000000" w:themeColor="text1"/>
                <w:sz w:val="20"/>
                <w:szCs w:val="20"/>
                <w14:textFill>
                  <w14:solidFill>
                    <w14:schemeClr w14:val="tx1"/>
                  </w14:solidFill>
                </w14:textFill>
              </w:rPr>
              <w:t>与授权行政主体两类，前者如各级人民政府，后者如经授权的事业单位。</w:t>
            </w:r>
          </w:p>
        </w:tc>
        <w:tc>
          <w:tcPr>
            <w:tcW w:w="2727" w:type="dxa"/>
          </w:tcPr>
          <w:p>
            <w:pPr>
              <w:rPr>
                <w:color w:val="000000" w:themeColor="text1"/>
                <w:sz w:val="20"/>
                <w:szCs w:val="20"/>
                <w14:textFill>
                  <w14:solidFill>
                    <w14:schemeClr w14:val="tx1"/>
                  </w14:solidFill>
                </w14:textFill>
              </w:rPr>
            </w:pPr>
            <w:r>
              <w:rPr>
                <w:rFonts w:hint="eastAsia"/>
                <w:color w:val="000000" w:themeColor="text1"/>
                <w:sz w:val="20"/>
                <w:szCs w:val="20"/>
                <w14:textFill>
                  <w14:solidFill>
                    <w14:schemeClr w14:val="tx1"/>
                  </w14:solidFill>
                </w14:textFill>
              </w:rPr>
              <w:t>职权行政主体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2" w:type="dxa"/>
          </w:tcPr>
          <w:p>
            <w:pPr>
              <w:pStyle w:val="6"/>
              <w:adjustRightInd w:val="0"/>
              <w:snapToGrid w:val="0"/>
              <w:spacing w:after="0" w:line="360" w:lineRule="exact"/>
              <w:ind w:firstLine="0" w:firstLineChars="0"/>
              <w:rPr>
                <w:color w:val="000000" w:themeColor="text1"/>
                <w:kern w:val="2"/>
                <w:sz w:val="20"/>
                <w:szCs w:val="20"/>
                <w14:textFill>
                  <w14:solidFill>
                    <w14:schemeClr w14:val="tx1"/>
                  </w14:solidFill>
                </w14:textFill>
              </w:rPr>
            </w:pPr>
            <w:r>
              <w:rPr>
                <w:rFonts w:hint="eastAsia"/>
                <w:color w:val="000000" w:themeColor="text1"/>
                <w:kern w:val="2"/>
                <w:sz w:val="20"/>
                <w:szCs w:val="20"/>
                <w14:textFill>
                  <w14:solidFill>
                    <w14:schemeClr w14:val="tx1"/>
                  </w14:solidFill>
                </w14:textFill>
              </w:rPr>
              <w:t>公务员按照职位的性质、特点和管理需要，划分为</w:t>
            </w:r>
            <w:r>
              <w:rPr>
                <w:color w:val="000000" w:themeColor="text1"/>
                <w:kern w:val="2"/>
                <w:sz w:val="20"/>
                <w:szCs w:val="20"/>
                <w:u w:val="single"/>
                <w14:textFill>
                  <w14:solidFill>
                    <w14:schemeClr w14:val="tx1"/>
                  </w14:solidFill>
                </w14:textFill>
              </w:rPr>
              <w:t xml:space="preserve">          </w:t>
            </w:r>
            <w:r>
              <w:rPr>
                <w:rFonts w:hint="eastAsia"/>
                <w:color w:val="000000" w:themeColor="text1"/>
                <w:kern w:val="2"/>
                <w:sz w:val="20"/>
                <w:szCs w:val="20"/>
                <w14:textFill>
                  <w14:solidFill>
                    <w14:schemeClr w14:val="tx1"/>
                  </w14:solidFill>
                </w14:textFill>
              </w:rPr>
              <w:t>、专业技术类和行政执法类三类。对于具有职位特殊性的公务员，需要单独管理的，</w:t>
            </w:r>
            <w:bookmarkStart w:id="4" w:name="OLE_LINK2"/>
          </w:p>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color w:val="000000" w:themeColor="text1"/>
                <w:kern w:val="2"/>
                <w:sz w:val="20"/>
                <w:szCs w:val="20"/>
                <w:u w:val="single"/>
                <w14:textFill>
                  <w14:solidFill>
                    <w14:schemeClr w14:val="tx1"/>
                  </w14:solidFill>
                </w14:textFill>
              </w:rPr>
              <w:t xml:space="preserve">          </w:t>
            </w:r>
            <w:bookmarkEnd w:id="4"/>
            <w:r>
              <w:rPr>
                <w:rFonts w:hint="eastAsia"/>
                <w:color w:val="000000" w:themeColor="text1"/>
                <w:kern w:val="2"/>
                <w:sz w:val="20"/>
                <w:szCs w:val="20"/>
                <w14:textFill>
                  <w14:solidFill>
                    <w14:schemeClr w14:val="tx1"/>
                  </w14:solidFill>
                </w14:textFill>
              </w:rPr>
              <w:t>可以根据《公务员法》增设其他职位类别。</w:t>
            </w:r>
          </w:p>
        </w:tc>
        <w:tc>
          <w:tcPr>
            <w:tcW w:w="2727" w:type="dxa"/>
          </w:tcPr>
          <w:p>
            <w:pPr>
              <w:spacing w:line="340" w:lineRule="exact"/>
              <w:rPr>
                <w:rFonts w:ascii="宋体"/>
                <w:caps/>
                <w:color w:val="000000" w:themeColor="text1"/>
                <w:sz w:val="20"/>
                <w:szCs w:val="20"/>
                <w14:textFill>
                  <w14:solidFill>
                    <w14:schemeClr w14:val="tx1"/>
                  </w14:solidFill>
                </w14:textFill>
              </w:rPr>
            </w:pPr>
            <w:r>
              <w:rPr>
                <w:rFonts w:hint="eastAsia" w:ascii="宋体" w:hAnsi="宋体"/>
                <w:caps/>
                <w:color w:val="000000" w:themeColor="text1"/>
                <w:sz w:val="20"/>
                <w:szCs w:val="20"/>
                <w14:textFill>
                  <w14:solidFill>
                    <w14:schemeClr w14:val="tx1"/>
                  </w14:solidFill>
                </w14:textFill>
              </w:rPr>
              <w:t>综合管理类</w:t>
            </w:r>
            <w:r>
              <w:rPr>
                <w:rFonts w:ascii="宋体" w:hAnsi="宋体"/>
                <w:caps/>
                <w:color w:val="000000" w:themeColor="text1"/>
                <w:sz w:val="20"/>
                <w:szCs w:val="20"/>
                <w14:textFill>
                  <w14:solidFill>
                    <w14:schemeClr w14:val="tx1"/>
                  </w14:solidFill>
                </w14:textFill>
              </w:rPr>
              <w:t>;</w:t>
            </w:r>
            <w:r>
              <w:rPr>
                <w:rFonts w:hint="eastAsia" w:ascii="宋体" w:hAnsi="宋体"/>
                <w:caps/>
                <w:color w:val="000000" w:themeColor="text1"/>
                <w:sz w:val="20"/>
                <w:szCs w:val="20"/>
                <w14:textFill>
                  <w14:solidFill>
                    <w14:schemeClr w14:val="tx1"/>
                  </w14:solidFill>
                </w14:textFill>
              </w:rPr>
              <w:t>国务院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2" w:type="dxa"/>
          </w:tcPr>
          <w:p>
            <w:pPr>
              <w:rPr>
                <w:rFonts w:ascii="Times New Roman" w:hAnsi="Times New Roman"/>
                <w:color w:val="000000" w:themeColor="text1"/>
                <w:sz w:val="20"/>
                <w:szCs w:val="20"/>
                <w14:textFill>
                  <w14:solidFill>
                    <w14:schemeClr w14:val="tx1"/>
                  </w14:solidFill>
                </w14:textFill>
              </w:rPr>
            </w:pPr>
            <w:r>
              <w:rPr>
                <w:rFonts w:ascii="Times New Roman" w:hAnsi="Times New Roman"/>
                <w:color w:val="000000" w:themeColor="text1"/>
                <w:sz w:val="20"/>
                <w:szCs w:val="20"/>
                <w14:textFill>
                  <w14:solidFill>
                    <w14:schemeClr w14:val="tx1"/>
                  </w14:solidFill>
                </w14:textFill>
              </w:rPr>
              <w:t>国务院直属机构的设立、撤销和合并，依法应由</w:t>
            </w:r>
            <w:r>
              <w:rPr>
                <w:rFonts w:ascii="Times New Roman" w:hAnsi="Times New Roman"/>
                <w:color w:val="000000" w:themeColor="text1"/>
                <w:sz w:val="20"/>
                <w:szCs w:val="20"/>
                <w:u w:val="single"/>
                <w14:textFill>
                  <w14:solidFill>
                    <w14:schemeClr w14:val="tx1"/>
                  </w14:solidFill>
                </w14:textFill>
              </w:rPr>
              <w:t xml:space="preserve">          </w:t>
            </w:r>
            <w:r>
              <w:rPr>
                <w:rFonts w:ascii="Times New Roman" w:hAnsi="Times New Roman"/>
                <w:color w:val="000000" w:themeColor="text1"/>
                <w:sz w:val="20"/>
                <w:szCs w:val="20"/>
                <w14:textFill>
                  <w14:solidFill>
                    <w14:schemeClr w14:val="tx1"/>
                  </w14:solidFill>
                </w14:textFill>
              </w:rPr>
              <w:t>决定。</w:t>
            </w:r>
          </w:p>
        </w:tc>
        <w:tc>
          <w:tcPr>
            <w:tcW w:w="2727" w:type="dxa"/>
            <w:vAlign w:val="center"/>
          </w:tcPr>
          <w:p>
            <w:pPr>
              <w:jc w:val="left"/>
              <w:rPr>
                <w:rFonts w:ascii="Times New Roman" w:hAnsi="Times New Roman"/>
                <w:caps/>
                <w:color w:val="000000" w:themeColor="text1"/>
                <w:sz w:val="20"/>
                <w:szCs w:val="20"/>
                <w14:textFill>
                  <w14:solidFill>
                    <w14:schemeClr w14:val="tx1"/>
                  </w14:solidFill>
                </w14:textFill>
              </w:rPr>
            </w:pPr>
            <w:r>
              <w:rPr>
                <w:rFonts w:ascii="Times New Roman" w:hAnsi="Times New Roman"/>
                <w:caps/>
                <w:color w:val="000000" w:themeColor="text1"/>
                <w:sz w:val="20"/>
                <w:szCs w:val="20"/>
                <w14:textFill>
                  <w14:solidFill>
                    <w14:schemeClr w14:val="tx1"/>
                  </w14:solidFill>
                </w14:textFill>
              </w:rPr>
              <w:t>国务院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2" w:type="dxa"/>
          </w:tcPr>
          <w:p>
            <w:pPr>
              <w:rPr>
                <w:rFonts w:ascii="宋体"/>
                <w:color w:val="000000" w:themeColor="text1"/>
                <w:sz w:val="20"/>
                <w:szCs w:val="20"/>
                <w14:textFill>
                  <w14:solidFill>
                    <w14:schemeClr w14:val="tx1"/>
                  </w14:solidFill>
                </w14:textFill>
              </w:rPr>
            </w:pPr>
            <w:r>
              <w:rPr>
                <w:rFonts w:hint="eastAsia"/>
                <w:color w:val="000000" w:themeColor="text1"/>
                <w:sz w:val="20"/>
                <w:szCs w:val="20"/>
                <w14:textFill>
                  <w14:solidFill>
                    <w14:schemeClr w14:val="tx1"/>
                  </w14:solidFill>
                </w14:textFill>
              </w:rPr>
              <w:t>行政主体作出的行政行为，除非有重大、明显的瑕疵，否则皆被推定为合法有效，任何行政机关、组织或个人都应当遵守或服从。行政行为的这种法律效力称为</w:t>
            </w:r>
            <w:r>
              <w:rPr>
                <w:rFonts w:ascii="宋体" w:hAnsi="宋体"/>
                <w:caps/>
                <w:color w:val="000000" w:themeColor="text1"/>
                <w:sz w:val="20"/>
                <w:szCs w:val="20"/>
                <w:u w:val="single"/>
                <w14:textFill>
                  <w14:solidFill>
                    <w14:schemeClr w14:val="tx1"/>
                  </w14:solidFill>
                </w14:textFill>
              </w:rPr>
              <w:t xml:space="preserve">          </w:t>
            </w:r>
            <w:r>
              <w:rPr>
                <w:rFonts w:hint="eastAsia"/>
                <w:color w:val="000000" w:themeColor="text1"/>
                <w:sz w:val="20"/>
                <w:szCs w:val="20"/>
                <w14:textFill>
                  <w14:solidFill>
                    <w14:schemeClr w14:val="tx1"/>
                  </w14:solidFill>
                </w14:textFill>
              </w:rPr>
              <w:t>。</w:t>
            </w:r>
          </w:p>
        </w:tc>
        <w:tc>
          <w:tcPr>
            <w:tcW w:w="2727" w:type="dxa"/>
            <w:vAlign w:val="center"/>
          </w:tcPr>
          <w:p>
            <w:pPr>
              <w:rPr>
                <w:rFonts w:ascii="宋体"/>
                <w:caps/>
                <w:color w:val="000000" w:themeColor="text1"/>
                <w:sz w:val="20"/>
                <w:szCs w:val="20"/>
                <w14:textFill>
                  <w14:solidFill>
                    <w14:schemeClr w14:val="tx1"/>
                  </w14:solidFill>
                </w14:textFill>
              </w:rPr>
            </w:pPr>
            <w:r>
              <w:rPr>
                <w:rFonts w:hint="eastAsia" w:ascii="宋体" w:hAnsi="宋体"/>
                <w:caps/>
                <w:color w:val="000000" w:themeColor="text1"/>
                <w:sz w:val="20"/>
                <w:szCs w:val="20"/>
                <w14:textFill>
                  <w14:solidFill>
                    <w14:schemeClr w14:val="tx1"/>
                  </w14:solidFill>
                </w14:textFill>
              </w:rPr>
              <w:t>公定力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2" w:type="dxa"/>
          </w:tcPr>
          <w:p>
            <w:pPr>
              <w:spacing w:line="340" w:lineRule="exact"/>
              <w:jc w:val="left"/>
              <w:rPr>
                <w:caps/>
                <w:color w:val="000000" w:themeColor="text1"/>
                <w:sz w:val="20"/>
                <w:szCs w:val="20"/>
                <w14:textFill>
                  <w14:solidFill>
                    <w14:schemeClr w14:val="tx1"/>
                  </w14:solidFill>
                </w14:textFill>
              </w:rPr>
            </w:pPr>
            <w:r>
              <w:rPr>
                <w:rFonts w:hint="eastAsia" w:ascii="宋体" w:hAnsi="宋体"/>
                <w:caps/>
                <w:color w:val="000000" w:themeColor="text1"/>
                <w:sz w:val="20"/>
                <w:szCs w:val="20"/>
                <w14:textFill>
                  <w14:solidFill>
                    <w14:schemeClr w14:val="tx1"/>
                  </w14:solidFill>
                </w14:textFill>
              </w:rPr>
              <w:t>某市公安局民警杨某在执行巡逻任务时，违反法定程序对公民甲进行留置盘问。甲认为该行政强制措施侵犯其合法权益，欲提起行政诉讼，应以</w:t>
            </w:r>
            <w:r>
              <w:rPr>
                <w:rFonts w:ascii="宋体" w:hAnsi="宋体"/>
                <w:caps/>
                <w:color w:val="000000" w:themeColor="text1"/>
                <w:sz w:val="20"/>
                <w:szCs w:val="20"/>
                <w:u w:val="single"/>
                <w14:textFill>
                  <w14:solidFill>
                    <w14:schemeClr w14:val="tx1"/>
                  </w14:solidFill>
                </w14:textFill>
              </w:rPr>
              <w:t xml:space="preserve">          </w:t>
            </w:r>
            <w:r>
              <w:rPr>
                <w:rFonts w:hint="eastAsia" w:ascii="宋体" w:hAnsi="宋体"/>
                <w:caps/>
                <w:color w:val="000000" w:themeColor="text1"/>
                <w:sz w:val="20"/>
                <w:szCs w:val="20"/>
                <w14:textFill>
                  <w14:solidFill>
                    <w14:schemeClr w14:val="tx1"/>
                  </w14:solidFill>
                </w14:textFill>
              </w:rPr>
              <w:t>为被告。</w:t>
            </w:r>
          </w:p>
        </w:tc>
        <w:tc>
          <w:tcPr>
            <w:tcW w:w="2727" w:type="dxa"/>
          </w:tcPr>
          <w:p>
            <w:pPr>
              <w:rPr>
                <w:color w:val="000000" w:themeColor="text1"/>
                <w:sz w:val="20"/>
                <w:szCs w:val="20"/>
                <w14:textFill>
                  <w14:solidFill>
                    <w14:schemeClr w14:val="tx1"/>
                  </w14:solidFill>
                </w14:textFill>
              </w:rPr>
            </w:pPr>
            <w:r>
              <w:rPr>
                <w:rFonts w:hint="eastAsia"/>
                <w:color w:val="000000" w:themeColor="text1"/>
                <w:sz w:val="20"/>
                <w:szCs w:val="20"/>
                <w14:textFill>
                  <w14:solidFill>
                    <w14:schemeClr w14:val="tx1"/>
                  </w14:solidFill>
                </w14:textFill>
              </w:rPr>
              <w:t>该市公安局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2" w:type="dxa"/>
          </w:tcPr>
          <w:p>
            <w:pPr>
              <w:spacing w:line="340" w:lineRule="exact"/>
              <w:jc w:val="left"/>
              <w:rPr>
                <w:rFonts w:ascii="宋体"/>
                <w:caps/>
                <w:color w:val="000000" w:themeColor="text1"/>
                <w:sz w:val="20"/>
                <w:szCs w:val="20"/>
                <w14:textFill>
                  <w14:solidFill>
                    <w14:schemeClr w14:val="tx1"/>
                  </w14:solidFill>
                </w14:textFill>
              </w:rPr>
            </w:pPr>
            <w:r>
              <w:rPr>
                <w:rFonts w:hint="eastAsia" w:ascii="宋体" w:hAnsi="宋体"/>
                <w:caps/>
                <w:color w:val="000000" w:themeColor="text1"/>
                <w:sz w:val="20"/>
                <w:szCs w:val="20"/>
                <w14:textFill>
                  <w14:solidFill>
                    <w14:schemeClr w14:val="tx1"/>
                  </w14:solidFill>
                </w14:textFill>
              </w:rPr>
              <w:t>以行政法的作用为标准，行政法在体系上可以分为</w:t>
            </w:r>
            <w:r>
              <w:rPr>
                <w:rFonts w:ascii="宋体" w:hAnsi="宋体"/>
                <w:caps/>
                <w:color w:val="000000" w:themeColor="text1"/>
                <w:sz w:val="20"/>
                <w:szCs w:val="20"/>
                <w:u w:val="single"/>
                <w14:textFill>
                  <w14:solidFill>
                    <w14:schemeClr w14:val="tx1"/>
                  </w14:solidFill>
                </w14:textFill>
              </w:rPr>
              <w:t xml:space="preserve">          </w:t>
            </w:r>
            <w:r>
              <w:rPr>
                <w:rFonts w:hint="eastAsia" w:ascii="宋体" w:hAnsi="宋体"/>
                <w:caps/>
                <w:color w:val="000000" w:themeColor="text1"/>
                <w:sz w:val="20"/>
                <w:szCs w:val="20"/>
                <w14:textFill>
                  <w14:solidFill>
                    <w14:schemeClr w14:val="tx1"/>
                  </w14:solidFill>
                </w14:textFill>
              </w:rPr>
              <w:t>、行政行为法和</w:t>
            </w:r>
            <w:r>
              <w:rPr>
                <w:rFonts w:ascii="宋体" w:hAnsi="宋体"/>
                <w:caps/>
                <w:color w:val="000000" w:themeColor="text1"/>
                <w:sz w:val="20"/>
                <w:szCs w:val="20"/>
                <w:u w:val="single"/>
                <w14:textFill>
                  <w14:solidFill>
                    <w14:schemeClr w14:val="tx1"/>
                  </w14:solidFill>
                </w14:textFill>
              </w:rPr>
              <w:t xml:space="preserve">          </w:t>
            </w:r>
            <w:r>
              <w:rPr>
                <w:rFonts w:hint="eastAsia" w:ascii="宋体" w:hAnsi="宋体"/>
                <w:caps/>
                <w:color w:val="000000" w:themeColor="text1"/>
                <w:sz w:val="20"/>
                <w:szCs w:val="20"/>
                <w14:textFill>
                  <w14:solidFill>
                    <w14:schemeClr w14:val="tx1"/>
                  </w14:solidFill>
                </w14:textFill>
              </w:rPr>
              <w:t>。</w:t>
            </w:r>
          </w:p>
        </w:tc>
        <w:tc>
          <w:tcPr>
            <w:tcW w:w="2727" w:type="dxa"/>
          </w:tcPr>
          <w:p>
            <w:pPr>
              <w:rPr>
                <w:color w:val="000000" w:themeColor="text1"/>
                <w:sz w:val="20"/>
                <w:szCs w:val="20"/>
                <w14:textFill>
                  <w14:solidFill>
                    <w14:schemeClr w14:val="tx1"/>
                  </w14:solidFill>
                </w14:textFill>
              </w:rPr>
            </w:pPr>
            <w:r>
              <w:rPr>
                <w:rFonts w:hint="eastAsia"/>
                <w:color w:val="000000" w:themeColor="text1"/>
                <w:sz w:val="20"/>
                <w:szCs w:val="20"/>
                <w14:textFill>
                  <w14:solidFill>
                    <w14:schemeClr w14:val="tx1"/>
                  </w14:solidFill>
                </w14:textFill>
              </w:rPr>
              <w:t>行政组织法</w:t>
            </w:r>
            <w:r>
              <w:rPr>
                <w:color w:val="000000" w:themeColor="text1"/>
                <w:sz w:val="20"/>
                <w:szCs w:val="20"/>
                <w14:textFill>
                  <w14:solidFill>
                    <w14:schemeClr w14:val="tx1"/>
                  </w14:solidFill>
                </w14:textFill>
              </w:rPr>
              <w:t>;</w:t>
            </w:r>
            <w:r>
              <w:rPr>
                <w:rFonts w:hint="eastAsia"/>
                <w:color w:val="000000" w:themeColor="text1"/>
                <w:sz w:val="20"/>
                <w:szCs w:val="20"/>
                <w14:textFill>
                  <w14:solidFill>
                    <w14:schemeClr w14:val="tx1"/>
                  </w14:solidFill>
                </w14:textFill>
              </w:rPr>
              <w:t>行政监督与救济法（行政救济法）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2" w:type="dxa"/>
          </w:tcPr>
          <w:p>
            <w:pPr>
              <w:rPr>
                <w:rFonts w:ascii="Times New Roman" w:hAnsi="Times New Roman"/>
                <w:color w:val="000000" w:themeColor="text1"/>
                <w:sz w:val="20"/>
                <w:szCs w:val="20"/>
                <w14:textFill>
                  <w14:solidFill>
                    <w14:schemeClr w14:val="tx1"/>
                  </w14:solidFill>
                </w14:textFill>
              </w:rPr>
            </w:pPr>
            <w:r>
              <w:rPr>
                <w:rFonts w:ascii="Times New Roman" w:hAnsi="Times New Roman"/>
                <w:color w:val="000000" w:themeColor="text1"/>
                <w:sz w:val="20"/>
                <w:szCs w:val="20"/>
                <w14:textFill>
                  <w14:solidFill>
                    <w14:schemeClr w14:val="tx1"/>
                  </w14:solidFill>
                </w14:textFill>
              </w:rPr>
              <w:t>在行政立法、行政许可和行政处罚三类行政行为中，属于依申请行政行为的是</w:t>
            </w:r>
            <w:r>
              <w:rPr>
                <w:rFonts w:ascii="Times New Roman" w:hAnsi="Times New Roman"/>
                <w:color w:val="000000" w:themeColor="text1"/>
                <w:sz w:val="20"/>
                <w:szCs w:val="20"/>
                <w:u w:val="single"/>
                <w14:textFill>
                  <w14:solidFill>
                    <w14:schemeClr w14:val="tx1"/>
                  </w14:solidFill>
                </w14:textFill>
              </w:rPr>
              <w:t xml:space="preserve">          </w:t>
            </w:r>
            <w:r>
              <w:rPr>
                <w:rFonts w:ascii="Times New Roman" w:hAnsi="Times New Roman"/>
                <w:color w:val="000000" w:themeColor="text1"/>
                <w:sz w:val="20"/>
                <w:szCs w:val="20"/>
                <w14:textFill>
                  <w14:solidFill>
                    <w14:schemeClr w14:val="tx1"/>
                  </w14:solidFill>
                </w14:textFill>
              </w:rPr>
              <w:t>。</w:t>
            </w:r>
          </w:p>
        </w:tc>
        <w:tc>
          <w:tcPr>
            <w:tcW w:w="2727" w:type="dxa"/>
            <w:vAlign w:val="center"/>
          </w:tcPr>
          <w:p>
            <w:pPr>
              <w:jc w:val="left"/>
              <w:rPr>
                <w:rFonts w:ascii="Times New Roman" w:hAnsi="Times New Roman"/>
                <w:caps/>
                <w:color w:val="000000" w:themeColor="text1"/>
                <w:sz w:val="20"/>
                <w:szCs w:val="20"/>
                <w14:textFill>
                  <w14:solidFill>
                    <w14:schemeClr w14:val="tx1"/>
                  </w14:solidFill>
                </w14:textFill>
              </w:rPr>
            </w:pPr>
            <w:r>
              <w:rPr>
                <w:rFonts w:ascii="Times New Roman" w:hAnsi="Times New Roman"/>
                <w:caps/>
                <w:color w:val="000000" w:themeColor="text1"/>
                <w:sz w:val="20"/>
                <w:szCs w:val="20"/>
                <w14:textFill>
                  <w14:solidFill>
                    <w14:schemeClr w14:val="tx1"/>
                  </w14:solidFill>
                </w14:textFill>
              </w:rPr>
              <w:t>行政许可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2" w:type="dxa"/>
          </w:tcPr>
          <w:p>
            <w:pPr>
              <w:rPr>
                <w:rFonts w:ascii="宋体"/>
                <w:color w:val="000000" w:themeColor="text1"/>
                <w:sz w:val="20"/>
                <w:szCs w:val="20"/>
                <w14:textFill>
                  <w14:solidFill>
                    <w14:schemeClr w14:val="tx1"/>
                  </w14:solidFill>
                </w14:textFill>
              </w:rPr>
            </w:pPr>
            <w:r>
              <w:rPr>
                <w:rFonts w:hint="eastAsia"/>
                <w:color w:val="000000" w:themeColor="text1"/>
                <w:sz w:val="20"/>
                <w:szCs w:val="20"/>
                <w14:textFill>
                  <w14:solidFill>
                    <w14:schemeClr w14:val="tx1"/>
                  </w14:solidFill>
                </w14:textFill>
              </w:rPr>
              <w:t>在司法判例、司法解释、村规民约和国际条约中，属于我国行政法渊源的两类规范是</w:t>
            </w:r>
            <w:r>
              <w:rPr>
                <w:rFonts w:ascii="宋体" w:hAnsi="宋体"/>
                <w:caps/>
                <w:color w:val="000000" w:themeColor="text1"/>
                <w:sz w:val="20"/>
                <w:szCs w:val="20"/>
                <w:u w:val="single"/>
                <w14:textFill>
                  <w14:solidFill>
                    <w14:schemeClr w14:val="tx1"/>
                  </w14:solidFill>
                </w14:textFill>
              </w:rPr>
              <w:t xml:space="preserve">          </w:t>
            </w:r>
            <w:r>
              <w:rPr>
                <w:rFonts w:hint="eastAsia"/>
                <w:color w:val="000000" w:themeColor="text1"/>
                <w:sz w:val="20"/>
                <w:szCs w:val="20"/>
                <w14:textFill>
                  <w14:solidFill>
                    <w14:schemeClr w14:val="tx1"/>
                  </w14:solidFill>
                </w14:textFill>
              </w:rPr>
              <w:t>和</w:t>
            </w:r>
            <w:r>
              <w:rPr>
                <w:rFonts w:ascii="宋体" w:hAnsi="宋体"/>
                <w:caps/>
                <w:color w:val="000000" w:themeColor="text1"/>
                <w:sz w:val="20"/>
                <w:szCs w:val="20"/>
                <w:u w:val="single"/>
                <w14:textFill>
                  <w14:solidFill>
                    <w14:schemeClr w14:val="tx1"/>
                  </w14:solidFill>
                </w14:textFill>
              </w:rPr>
              <w:t xml:space="preserve">          </w:t>
            </w:r>
            <w:r>
              <w:rPr>
                <w:rFonts w:hint="eastAsia"/>
                <w:color w:val="000000" w:themeColor="text1"/>
                <w:sz w:val="20"/>
                <w:szCs w:val="20"/>
                <w14:textFill>
                  <w14:solidFill>
                    <w14:schemeClr w14:val="tx1"/>
                  </w14:solidFill>
                </w14:textFill>
              </w:rPr>
              <w:t>。</w:t>
            </w:r>
          </w:p>
        </w:tc>
        <w:tc>
          <w:tcPr>
            <w:tcW w:w="2727" w:type="dxa"/>
            <w:vAlign w:val="center"/>
          </w:tcPr>
          <w:p>
            <w:pPr>
              <w:spacing w:line="340" w:lineRule="exact"/>
              <w:rPr>
                <w:rFonts w:ascii="宋体"/>
                <w:caps/>
                <w:color w:val="000000" w:themeColor="text1"/>
                <w:sz w:val="20"/>
                <w:szCs w:val="20"/>
                <w14:textFill>
                  <w14:solidFill>
                    <w14:schemeClr w14:val="tx1"/>
                  </w14:solidFill>
                </w14:textFill>
              </w:rPr>
            </w:pPr>
            <w:r>
              <w:rPr>
                <w:rFonts w:hint="eastAsia" w:ascii="宋体" w:hAnsi="宋体"/>
                <w:caps/>
                <w:color w:val="000000" w:themeColor="text1"/>
                <w:sz w:val="20"/>
                <w:szCs w:val="20"/>
                <w14:textFill>
                  <w14:solidFill>
                    <w14:schemeClr w14:val="tx1"/>
                  </w14:solidFill>
                </w14:textFill>
              </w:rPr>
              <w:t>司法解释</w:t>
            </w:r>
            <w:r>
              <w:rPr>
                <w:rFonts w:ascii="宋体" w:hAnsi="宋体"/>
                <w:caps/>
                <w:color w:val="000000" w:themeColor="text1"/>
                <w:sz w:val="20"/>
                <w:szCs w:val="20"/>
                <w14:textFill>
                  <w14:solidFill>
                    <w14:schemeClr w14:val="tx1"/>
                  </w14:solidFill>
                </w14:textFill>
              </w:rPr>
              <w:t>;</w:t>
            </w:r>
            <w:r>
              <w:rPr>
                <w:rFonts w:hint="eastAsia" w:ascii="宋体" w:hAnsi="宋体"/>
                <w:caps/>
                <w:color w:val="000000" w:themeColor="text1"/>
                <w:sz w:val="20"/>
                <w:szCs w:val="20"/>
                <w14:textFill>
                  <w14:solidFill>
                    <w14:schemeClr w14:val="tx1"/>
                  </w14:solidFill>
                </w14:textFill>
              </w:rPr>
              <w:t>国际条约</w:t>
            </w:r>
          </w:p>
        </w:tc>
      </w:tr>
    </w:tbl>
    <w:p>
      <w:pPr>
        <w:rPr>
          <w:rFonts w:ascii="宋体"/>
          <w:color w:val="000000" w:themeColor="text1"/>
          <w:szCs w:val="21"/>
          <w14:textFill>
            <w14:solidFill>
              <w14:schemeClr w14:val="tx1"/>
            </w14:solidFill>
          </w14:textFill>
        </w:rPr>
      </w:pPr>
    </w:p>
    <w:p>
      <w:pP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五、名词解释</w:t>
      </w:r>
    </w:p>
    <w:tbl>
      <w:tblPr>
        <w:tblStyle w:val="7"/>
        <w:tblpPr w:leftFromText="180" w:rightFromText="180" w:vertAnchor="text" w:tblpY="1"/>
        <w:tblOverlap w:val="never"/>
        <w:tblW w:w="87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5"/>
        <w:gridCol w:w="54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285" w:type="dxa"/>
            <w:vAlign w:val="center"/>
          </w:tcPr>
          <w:p>
            <w:pPr>
              <w:jc w:val="center"/>
              <w:rPr>
                <w:b/>
                <w:color w:val="000000" w:themeColor="text1"/>
                <w:sz w:val="20"/>
                <w:szCs w:val="20"/>
                <w14:textFill>
                  <w14:solidFill>
                    <w14:schemeClr w14:val="tx1"/>
                  </w14:solidFill>
                </w14:textFill>
              </w:rPr>
            </w:pPr>
            <w:r>
              <w:rPr>
                <w:rFonts w:hint="eastAsia"/>
                <w:b/>
                <w:color w:val="000000" w:themeColor="text1"/>
                <w:sz w:val="20"/>
                <w:szCs w:val="20"/>
                <w14:textFill>
                  <w14:solidFill>
                    <w14:schemeClr w14:val="tx1"/>
                  </w14:solidFill>
                </w14:textFill>
              </w:rPr>
              <w:t>名词解释</w:t>
            </w:r>
          </w:p>
        </w:tc>
        <w:tc>
          <w:tcPr>
            <w:tcW w:w="5451" w:type="dxa"/>
            <w:vAlign w:val="center"/>
          </w:tcPr>
          <w:p>
            <w:pPr>
              <w:spacing w:line="340" w:lineRule="exact"/>
              <w:jc w:val="center"/>
              <w:rPr>
                <w:rFonts w:ascii="宋体" w:hAnsi="宋体"/>
                <w:b/>
                <w:caps/>
                <w:color w:val="000000" w:themeColor="text1"/>
                <w:sz w:val="20"/>
                <w:szCs w:val="20"/>
                <w14:textFill>
                  <w14:solidFill>
                    <w14:schemeClr w14:val="tx1"/>
                  </w14:solidFill>
                </w14:textFill>
              </w:rPr>
            </w:pPr>
            <w:r>
              <w:rPr>
                <w:rFonts w:hint="eastAsia" w:ascii="宋体" w:hAnsi="宋体"/>
                <w:b/>
                <w:caps/>
                <w:color w:val="000000" w:themeColor="text1"/>
                <w:sz w:val="20"/>
                <w:szCs w:val="20"/>
                <w14:textFill>
                  <w14:solidFill>
                    <w14:schemeClr w14:val="tx1"/>
                  </w14:solidFill>
                </w14:textFill>
              </w:rPr>
              <w:t>参考答案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85" w:type="dxa"/>
            <w:vAlign w:val="center"/>
          </w:tcPr>
          <w:p>
            <w:pPr>
              <w:jc w:val="left"/>
              <w:rPr>
                <w:color w:val="000000" w:themeColor="text1"/>
                <w:sz w:val="20"/>
                <w:szCs w:val="20"/>
                <w14:textFill>
                  <w14:solidFill>
                    <w14:schemeClr w14:val="tx1"/>
                  </w14:solidFill>
                </w14:textFill>
              </w:rPr>
            </w:pPr>
            <w:r>
              <w:rPr>
                <w:rFonts w:hint="eastAsia"/>
                <w:color w:val="000000" w:themeColor="text1"/>
                <w:sz w:val="20"/>
                <w:szCs w:val="20"/>
                <w14:textFill>
                  <w14:solidFill>
                    <w14:schemeClr w14:val="tx1"/>
                  </w14:solidFill>
                </w14:textFill>
              </w:rPr>
              <w:t>比例原则</w:t>
            </w:r>
          </w:p>
        </w:tc>
        <w:tc>
          <w:tcPr>
            <w:tcW w:w="5451" w:type="dxa"/>
            <w:vAlign w:val="center"/>
          </w:tcPr>
          <w:p>
            <w:pPr>
              <w:spacing w:line="340" w:lineRule="exact"/>
              <w:rPr>
                <w:rFonts w:ascii="宋体"/>
                <w:caps/>
                <w:color w:val="000000" w:themeColor="text1"/>
                <w:sz w:val="20"/>
                <w:szCs w:val="20"/>
                <w14:textFill>
                  <w14:solidFill>
                    <w14:schemeClr w14:val="tx1"/>
                  </w14:solidFill>
                </w14:textFill>
              </w:rPr>
            </w:pPr>
            <w:r>
              <w:rPr>
                <w:rFonts w:hint="eastAsia" w:ascii="宋体" w:hAnsi="宋体"/>
                <w:caps/>
                <w:color w:val="000000" w:themeColor="text1"/>
                <w:sz w:val="20"/>
                <w:szCs w:val="20"/>
                <w14:textFill>
                  <w14:solidFill>
                    <w14:schemeClr w14:val="tx1"/>
                  </w14:solidFill>
                </w14:textFill>
              </w:rPr>
              <w:t>比例原则，是指行政机关在采取行为时，应当对行政手段与行政目的之间的关系进行衡量，甚至对两者所代表的利益进行权衡，以保证行政行为是恰当的、合乎比例的。比例原则的具体要求包括：（</w:t>
            </w:r>
            <w:r>
              <w:rPr>
                <w:rFonts w:ascii="宋体" w:hAnsi="宋体"/>
                <w:caps/>
                <w:color w:val="000000" w:themeColor="text1"/>
                <w:sz w:val="20"/>
                <w:szCs w:val="20"/>
                <w14:textFill>
                  <w14:solidFill>
                    <w14:schemeClr w14:val="tx1"/>
                  </w14:solidFill>
                </w14:textFill>
              </w:rPr>
              <w:t>1</w:t>
            </w:r>
            <w:r>
              <w:rPr>
                <w:rFonts w:hint="eastAsia" w:ascii="宋体" w:hAnsi="宋体"/>
                <w:caps/>
                <w:color w:val="000000" w:themeColor="text1"/>
                <w:sz w:val="20"/>
                <w:szCs w:val="20"/>
                <w14:textFill>
                  <w14:solidFill>
                    <w14:schemeClr w14:val="tx1"/>
                  </w14:solidFill>
                </w14:textFill>
              </w:rPr>
              <w:t>）合目的性：所采取的措施必须适合于实现法律所追求的目标；（</w:t>
            </w:r>
            <w:r>
              <w:rPr>
                <w:rFonts w:ascii="宋体" w:hAnsi="宋体"/>
                <w:caps/>
                <w:color w:val="000000" w:themeColor="text1"/>
                <w:sz w:val="20"/>
                <w:szCs w:val="20"/>
                <w14:textFill>
                  <w14:solidFill>
                    <w14:schemeClr w14:val="tx1"/>
                  </w14:solidFill>
                </w14:textFill>
              </w:rPr>
              <w:t>2</w:t>
            </w:r>
            <w:r>
              <w:rPr>
                <w:rFonts w:hint="eastAsia" w:ascii="宋体" w:hAnsi="宋体"/>
                <w:caps/>
                <w:color w:val="000000" w:themeColor="text1"/>
                <w:sz w:val="20"/>
                <w:szCs w:val="20"/>
                <w14:textFill>
                  <w14:solidFill>
                    <w14:schemeClr w14:val="tx1"/>
                  </w14:solidFill>
                </w14:textFill>
              </w:rPr>
              <w:t>）必要性：所采取的手段在诸种可供选择的手段中是最温和、损害最小的；（</w:t>
            </w:r>
            <w:r>
              <w:rPr>
                <w:rFonts w:ascii="宋体" w:hAnsi="宋体"/>
                <w:caps/>
                <w:color w:val="000000" w:themeColor="text1"/>
                <w:sz w:val="20"/>
                <w:szCs w:val="20"/>
                <w14:textFill>
                  <w14:solidFill>
                    <w14:schemeClr w14:val="tx1"/>
                  </w14:solidFill>
                </w14:textFill>
              </w:rPr>
              <w:t>3</w:t>
            </w:r>
            <w:r>
              <w:rPr>
                <w:rFonts w:hint="eastAsia" w:ascii="宋体" w:hAnsi="宋体"/>
                <w:caps/>
                <w:color w:val="000000" w:themeColor="text1"/>
                <w:sz w:val="20"/>
                <w:szCs w:val="20"/>
                <w14:textFill>
                  <w14:solidFill>
                    <w14:schemeClr w14:val="tx1"/>
                  </w14:solidFill>
                </w14:textFill>
              </w:rPr>
              <w:t>）衡量性：行政所带来的负担不能超过所带来的公共福祉。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85" w:type="dxa"/>
          </w:tcPr>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抽象行政行为</w:t>
            </w:r>
          </w:p>
        </w:tc>
        <w:tc>
          <w:tcPr>
            <w:tcW w:w="5451" w:type="dxa"/>
          </w:tcPr>
          <w:p>
            <w:pPr>
              <w:rPr>
                <w:rFonts w:ascii="宋体"/>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抽象行政行为是指行政主体针对不特定对象，制定具有普遍性约束力的规范性文件的行为，包括行政立法行为与行政主体制定、发布其他规范性文件的行为。抽象行政行为具有如下特征：（</w:t>
            </w:r>
            <w:r>
              <w:rPr>
                <w:caps/>
                <w:color w:val="000000" w:themeColor="text1"/>
                <w:sz w:val="20"/>
                <w:szCs w:val="20"/>
                <w14:textFill>
                  <w14:solidFill>
                    <w14:schemeClr w14:val="tx1"/>
                  </w14:solidFill>
                </w14:textFill>
              </w:rPr>
              <w:t>1</w:t>
            </w:r>
            <w:r>
              <w:rPr>
                <w:rFonts w:hint="eastAsia"/>
                <w:caps/>
                <w:color w:val="000000" w:themeColor="text1"/>
                <w:sz w:val="20"/>
                <w:szCs w:val="20"/>
                <w14:textFill>
                  <w14:solidFill>
                    <w14:schemeClr w14:val="tx1"/>
                  </w14:solidFill>
                </w14:textFill>
              </w:rPr>
              <w:t>）适用对象的不特定性，即行政行为终结时，相对人不能被个别化、固定化；（</w:t>
            </w:r>
            <w:r>
              <w:rPr>
                <w:caps/>
                <w:color w:val="000000" w:themeColor="text1"/>
                <w:sz w:val="20"/>
                <w:szCs w:val="20"/>
                <w14:textFill>
                  <w14:solidFill>
                    <w14:schemeClr w14:val="tx1"/>
                  </w14:solidFill>
                </w14:textFill>
              </w:rPr>
              <w:t>2</w:t>
            </w:r>
            <w:r>
              <w:rPr>
                <w:rFonts w:hint="eastAsia"/>
                <w:caps/>
                <w:color w:val="000000" w:themeColor="text1"/>
                <w:sz w:val="20"/>
                <w:szCs w:val="20"/>
                <w14:textFill>
                  <w14:solidFill>
                    <w14:schemeClr w14:val="tx1"/>
                  </w14:solidFill>
                </w14:textFill>
              </w:rPr>
              <w:t>）反复适用性，即抽象行政行为通常针对某类人或事产生效力，符合一定条件的公民、法人或其他组织都受到该行为约束。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85" w:type="dxa"/>
            <w:vAlign w:val="center"/>
          </w:tcPr>
          <w:p>
            <w:pPr>
              <w:jc w:val="left"/>
              <w:rPr>
                <w:color w:val="000000" w:themeColor="text1"/>
                <w:sz w:val="20"/>
                <w:szCs w:val="20"/>
                <w14:textFill>
                  <w14:solidFill>
                    <w14:schemeClr w14:val="tx1"/>
                  </w14:solidFill>
                </w14:textFill>
              </w:rPr>
            </w:pPr>
            <w:r>
              <w:rPr>
                <w:rFonts w:hint="eastAsia"/>
                <w:color w:val="000000" w:themeColor="text1"/>
                <w:sz w:val="20"/>
                <w:szCs w:val="20"/>
                <w14:textFill>
                  <w14:solidFill>
                    <w14:schemeClr w14:val="tx1"/>
                  </w14:solidFill>
                </w14:textFill>
              </w:rPr>
              <w:t>地方行政机关</w:t>
            </w:r>
          </w:p>
          <w:p>
            <w:pPr>
              <w:jc w:val="left"/>
              <w:rPr>
                <w:color w:val="000000" w:themeColor="text1"/>
                <w:sz w:val="20"/>
                <w:szCs w:val="20"/>
                <w14:textFill>
                  <w14:solidFill>
                    <w14:schemeClr w14:val="tx1"/>
                  </w14:solidFill>
                </w14:textFill>
              </w:rPr>
            </w:pPr>
          </w:p>
        </w:tc>
        <w:tc>
          <w:tcPr>
            <w:tcW w:w="5451" w:type="dxa"/>
            <w:vAlign w:val="center"/>
          </w:tcPr>
          <w:p>
            <w:pPr>
              <w:rPr>
                <w:rFonts w:ascii="宋体"/>
                <w:caps/>
                <w:color w:val="000000" w:themeColor="text1"/>
                <w:sz w:val="20"/>
                <w:szCs w:val="20"/>
                <w14:textFill>
                  <w14:solidFill>
                    <w14:schemeClr w14:val="tx1"/>
                  </w14:solidFill>
                </w14:textFill>
              </w:rPr>
            </w:pPr>
            <w:r>
              <w:rPr>
                <w:rFonts w:hint="eastAsia" w:ascii="宋体" w:hAnsi="宋体"/>
                <w:caps/>
                <w:color w:val="000000" w:themeColor="text1"/>
                <w:sz w:val="20"/>
                <w:szCs w:val="20"/>
                <w14:textFill>
                  <w14:solidFill>
                    <w14:schemeClr w14:val="tx1"/>
                  </w14:solidFill>
                </w14:textFill>
              </w:rPr>
              <w:t>地方行政机关，是指在一定行政区域内由该行政区域人民代表机关产生的人民政府及其工作部门。地方行政机关既是地方各级人民代表大会的执行机关，又是国务院统一领导下的国家行政机关。因而，地方各级人民政府须对本级人民代表大会和上一级国家行政机关负责并报告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85" w:type="dxa"/>
            <w:vAlign w:val="center"/>
          </w:tcPr>
          <w:p>
            <w:pPr>
              <w:rPr>
                <w:rFonts w:ascii="Times New Roman" w:hAnsi="Times New Roman"/>
                <w:color w:val="000000" w:themeColor="text1"/>
                <w:sz w:val="20"/>
                <w:szCs w:val="20"/>
                <w14:textFill>
                  <w14:solidFill>
                    <w14:schemeClr w14:val="tx1"/>
                  </w14:solidFill>
                </w14:textFill>
              </w:rPr>
            </w:pPr>
            <w:r>
              <w:rPr>
                <w:rFonts w:ascii="Times New Roman" w:hAnsi="Times New Roman"/>
                <w:color w:val="000000" w:themeColor="text1"/>
                <w:sz w:val="20"/>
                <w:szCs w:val="20"/>
                <w14:textFill>
                  <w14:solidFill>
                    <w14:schemeClr w14:val="tx1"/>
                  </w14:solidFill>
                </w14:textFill>
              </w:rPr>
              <w:t>法律、法规、规章授权的组织</w:t>
            </w:r>
          </w:p>
        </w:tc>
        <w:tc>
          <w:tcPr>
            <w:tcW w:w="5451" w:type="dxa"/>
            <w:vAlign w:val="center"/>
          </w:tcPr>
          <w:p>
            <w:pPr>
              <w:spacing w:line="340" w:lineRule="exact"/>
              <w:rPr>
                <w:rFonts w:ascii="Times New Roman" w:hAnsi="Times New Roman"/>
                <w:caps/>
                <w:color w:val="000000" w:themeColor="text1"/>
                <w:sz w:val="20"/>
                <w:szCs w:val="20"/>
                <w14:textFill>
                  <w14:solidFill>
                    <w14:schemeClr w14:val="tx1"/>
                  </w14:solidFill>
                </w14:textFill>
              </w:rPr>
            </w:pPr>
            <w:r>
              <w:rPr>
                <w:rFonts w:ascii="Times New Roman" w:hAnsi="Times New Roman"/>
                <w:caps/>
                <w:color w:val="000000" w:themeColor="text1"/>
                <w:sz w:val="20"/>
                <w:szCs w:val="20"/>
                <w14:textFill>
                  <w14:solidFill>
                    <w14:schemeClr w14:val="tx1"/>
                  </w14:solidFill>
                </w14:textFill>
              </w:rPr>
              <w:t>法律、法规、规章授权的组织是指根据法律、法规、规章的规定，可以以自己的名义从事行政管理活动、参加行政复议和行政诉讼并承担相应法律责任的非国家机关组织。这类组织的职能由具体法律、法规、规章所授，在授权范围内行使行政职权，具备行政主体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85" w:type="dxa"/>
          </w:tcPr>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ascii="宋体" w:hAnsi="宋体"/>
                <w:caps/>
                <w:color w:val="000000" w:themeColor="text1"/>
                <w:kern w:val="2"/>
                <w:sz w:val="20"/>
                <w:szCs w:val="20"/>
                <w14:textFill>
                  <w14:solidFill>
                    <w14:schemeClr w14:val="tx1"/>
                  </w14:solidFill>
                </w14:textFill>
              </w:rPr>
              <w:t>公务员</w:t>
            </w:r>
          </w:p>
        </w:tc>
        <w:tc>
          <w:tcPr>
            <w:tcW w:w="5451" w:type="dxa"/>
          </w:tcPr>
          <w:p>
            <w:pPr>
              <w:rPr>
                <w:rFonts w:ascii="宋体"/>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公务员是指依法履行公职、纳入国家行政编制、由国家财政负担工资福利的工作人员。根据《公务员法》的规定，我国公务员的范围包括中国共产党机关、权力机关、行政机关、司法机关、政协机关和民主党派机关中除工勤人员以外的工作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85" w:type="dxa"/>
          </w:tcPr>
          <w:p>
            <w:pPr>
              <w:spacing w:line="340" w:lineRule="exact"/>
              <w:jc w:val="left"/>
              <w:rPr>
                <w:rFonts w:ascii="宋体"/>
                <w:caps/>
                <w:color w:val="000000" w:themeColor="text1"/>
                <w:sz w:val="20"/>
                <w:szCs w:val="20"/>
                <w14:textFill>
                  <w14:solidFill>
                    <w14:schemeClr w14:val="tx1"/>
                  </w14:solidFill>
                </w14:textFill>
              </w:rPr>
            </w:pPr>
            <w:r>
              <w:rPr>
                <w:rFonts w:hint="eastAsia" w:ascii="宋体" w:hAnsi="宋体"/>
                <w:caps/>
                <w:color w:val="000000" w:themeColor="text1"/>
                <w:sz w:val="20"/>
                <w:szCs w:val="20"/>
                <w14:textFill>
                  <w14:solidFill>
                    <w14:schemeClr w14:val="tx1"/>
                  </w14:solidFill>
                </w14:textFill>
              </w:rPr>
              <w:t>行政法律关系</w:t>
            </w:r>
          </w:p>
        </w:tc>
        <w:tc>
          <w:tcPr>
            <w:tcW w:w="5451" w:type="dxa"/>
          </w:tcPr>
          <w:p>
            <w:pPr>
              <w:spacing w:line="340" w:lineRule="exact"/>
              <w:jc w:val="left"/>
              <w:rPr>
                <w:rFonts w:ascii="宋体"/>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行政法律关系，是指为行政法所调整的、具有行政法上权利与义务内容的各种社会关系，由主体、客体和内容等要素构成。行政法律关系具有主体恒定性、权利义务法定性、主体地位的不对等性、争议解决方式及程序的特殊性等特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85" w:type="dxa"/>
          </w:tcPr>
          <w:p>
            <w:pPr>
              <w:spacing w:line="340" w:lineRule="exact"/>
              <w:jc w:val="left"/>
              <w:rPr>
                <w:rFonts w:ascii="宋体"/>
                <w:caps/>
                <w:color w:val="000000" w:themeColor="text1"/>
                <w:sz w:val="20"/>
                <w:szCs w:val="20"/>
                <w14:textFill>
                  <w14:solidFill>
                    <w14:schemeClr w14:val="tx1"/>
                  </w14:solidFill>
                </w14:textFill>
              </w:rPr>
            </w:pPr>
            <w:r>
              <w:rPr>
                <w:rFonts w:hint="eastAsia" w:ascii="宋体" w:hAnsi="宋体"/>
                <w:caps/>
                <w:color w:val="000000" w:themeColor="text1"/>
                <w:sz w:val="20"/>
                <w:szCs w:val="20"/>
                <w14:textFill>
                  <w14:solidFill>
                    <w14:schemeClr w14:val="tx1"/>
                  </w14:solidFill>
                </w14:textFill>
              </w:rPr>
              <w:t>行政复议</w:t>
            </w:r>
          </w:p>
        </w:tc>
        <w:tc>
          <w:tcPr>
            <w:tcW w:w="5451" w:type="dxa"/>
          </w:tcPr>
          <w:p>
            <w:pPr>
              <w:spacing w:line="340" w:lineRule="exact"/>
              <w:jc w:val="left"/>
              <w:rPr>
                <w:rFonts w:ascii="宋体"/>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行政复议是行政复议机关依照法定程序对被申请的行政行为进行审查，并作出裁决的活动。行政复议具有如下特点：（</w:t>
            </w:r>
            <w:r>
              <w:rPr>
                <w:caps/>
                <w:color w:val="000000" w:themeColor="text1"/>
                <w:sz w:val="20"/>
                <w:szCs w:val="20"/>
                <w14:textFill>
                  <w14:solidFill>
                    <w14:schemeClr w14:val="tx1"/>
                  </w14:solidFill>
                </w14:textFill>
              </w:rPr>
              <w:t>1</w:t>
            </w:r>
            <w:r>
              <w:rPr>
                <w:rFonts w:hint="eastAsia"/>
                <w:caps/>
                <w:color w:val="000000" w:themeColor="text1"/>
                <w:sz w:val="20"/>
                <w:szCs w:val="20"/>
                <w14:textFill>
                  <w14:solidFill>
                    <w14:schemeClr w14:val="tx1"/>
                  </w14:solidFill>
                </w14:textFill>
              </w:rPr>
              <w:t>）行政复议是一种行政行为。行政复议的根据是基于行政系统内部上下级领导关系而产生的层级监督权，是行政职权的体现，具有行政行为的特性；（</w:t>
            </w:r>
            <w:r>
              <w:rPr>
                <w:caps/>
                <w:color w:val="000000" w:themeColor="text1"/>
                <w:sz w:val="20"/>
                <w:szCs w:val="20"/>
                <w14:textFill>
                  <w14:solidFill>
                    <w14:schemeClr w14:val="tx1"/>
                  </w14:solidFill>
                </w14:textFill>
              </w:rPr>
              <w:t>2</w:t>
            </w:r>
            <w:r>
              <w:rPr>
                <w:rFonts w:hint="eastAsia"/>
                <w:caps/>
                <w:color w:val="000000" w:themeColor="text1"/>
                <w:sz w:val="20"/>
                <w:szCs w:val="20"/>
                <w14:textFill>
                  <w14:solidFill>
                    <w14:schemeClr w14:val="tx1"/>
                  </w14:solidFill>
                </w14:textFill>
              </w:rPr>
              <w:t>）行政复议是行政争议的一种解决机制，具有准司法性；（</w:t>
            </w:r>
            <w:r>
              <w:rPr>
                <w:caps/>
                <w:color w:val="000000" w:themeColor="text1"/>
                <w:sz w:val="20"/>
                <w:szCs w:val="20"/>
                <w14:textFill>
                  <w14:solidFill>
                    <w14:schemeClr w14:val="tx1"/>
                  </w14:solidFill>
                </w14:textFill>
              </w:rPr>
              <w:t>3</w:t>
            </w:r>
            <w:r>
              <w:rPr>
                <w:rFonts w:hint="eastAsia"/>
                <w:caps/>
                <w:color w:val="000000" w:themeColor="text1"/>
                <w:sz w:val="20"/>
                <w:szCs w:val="20"/>
                <w14:textFill>
                  <w14:solidFill>
                    <w14:schemeClr w14:val="tx1"/>
                  </w14:solidFill>
                </w14:textFill>
              </w:rPr>
              <w:t>）行政复议既要审查行政行为的合法性，也要审查其适当性；（</w:t>
            </w:r>
            <w:r>
              <w:rPr>
                <w:caps/>
                <w:color w:val="000000" w:themeColor="text1"/>
                <w:sz w:val="20"/>
                <w:szCs w:val="20"/>
                <w14:textFill>
                  <w14:solidFill>
                    <w14:schemeClr w14:val="tx1"/>
                  </w14:solidFill>
                </w14:textFill>
              </w:rPr>
              <w:t>4</w:t>
            </w:r>
            <w:r>
              <w:rPr>
                <w:rFonts w:hint="eastAsia"/>
                <w:caps/>
                <w:color w:val="000000" w:themeColor="text1"/>
                <w:sz w:val="20"/>
                <w:szCs w:val="20"/>
                <w14:textFill>
                  <w14:solidFill>
                    <w14:schemeClr w14:val="tx1"/>
                  </w14:solidFill>
                </w14:textFill>
              </w:rPr>
              <w:t>）为了保证行政复议必要的效率，行政复议原则上采用书面审查的方式；（</w:t>
            </w:r>
            <w:r>
              <w:rPr>
                <w:caps/>
                <w:color w:val="000000" w:themeColor="text1"/>
                <w:sz w:val="20"/>
                <w:szCs w:val="20"/>
                <w14:textFill>
                  <w14:solidFill>
                    <w14:schemeClr w14:val="tx1"/>
                  </w14:solidFill>
                </w14:textFill>
              </w:rPr>
              <w:t>5</w:t>
            </w:r>
            <w:r>
              <w:rPr>
                <w:rFonts w:hint="eastAsia"/>
                <w:caps/>
                <w:color w:val="000000" w:themeColor="text1"/>
                <w:sz w:val="20"/>
                <w:szCs w:val="20"/>
                <w14:textFill>
                  <w14:solidFill>
                    <w14:schemeClr w14:val="tx1"/>
                  </w14:solidFill>
                </w14:textFill>
              </w:rPr>
              <w:t>）行政复议决定一般不具有终局性，对复议决定不服的，原则上可以再提起行政诉讼。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85" w:type="dxa"/>
          </w:tcPr>
          <w:p>
            <w:pPr>
              <w:pStyle w:val="6"/>
              <w:adjustRightInd w:val="0"/>
              <w:snapToGrid w:val="0"/>
              <w:spacing w:after="0" w:line="360" w:lineRule="exact"/>
              <w:ind w:firstLine="0" w:firstLineChars="0"/>
              <w:rPr>
                <w:rFonts w:ascii="宋体"/>
                <w:caps/>
                <w:color w:val="000000" w:themeColor="text1"/>
                <w:kern w:val="2"/>
                <w:sz w:val="20"/>
                <w:szCs w:val="20"/>
                <w14:textFill>
                  <w14:solidFill>
                    <w14:schemeClr w14:val="tx1"/>
                  </w14:solidFill>
                </w14:textFill>
              </w:rPr>
            </w:pPr>
            <w:r>
              <w:rPr>
                <w:rFonts w:hint="eastAsia"/>
                <w:caps/>
                <w:color w:val="000000" w:themeColor="text1"/>
                <w:kern w:val="2"/>
                <w:sz w:val="20"/>
                <w:szCs w:val="20"/>
                <w14:textFill>
                  <w14:solidFill>
                    <w14:schemeClr w14:val="tx1"/>
                  </w14:solidFill>
                </w14:textFill>
              </w:rPr>
              <w:t>行政行为</w:t>
            </w:r>
          </w:p>
        </w:tc>
        <w:tc>
          <w:tcPr>
            <w:tcW w:w="5451" w:type="dxa"/>
          </w:tcPr>
          <w:p>
            <w:pPr>
              <w:spacing w:line="340" w:lineRule="exact"/>
              <w:jc w:val="left"/>
              <w:rPr>
                <w:rFonts w:ascii="宋体"/>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行政行为是行政主体行使行政职权所作出的能够产生行政法律效果的行为。行政行为具有以下特征：（</w:t>
            </w:r>
            <w:r>
              <w:rPr>
                <w:caps/>
                <w:color w:val="000000" w:themeColor="text1"/>
                <w:sz w:val="20"/>
                <w:szCs w:val="20"/>
                <w14:textFill>
                  <w14:solidFill>
                    <w14:schemeClr w14:val="tx1"/>
                  </w14:solidFill>
                </w14:textFill>
              </w:rPr>
              <w:t>1</w:t>
            </w:r>
            <w:r>
              <w:rPr>
                <w:rFonts w:hint="eastAsia"/>
                <w:caps/>
                <w:color w:val="000000" w:themeColor="text1"/>
                <w:sz w:val="20"/>
                <w:szCs w:val="20"/>
                <w14:textFill>
                  <w14:solidFill>
                    <w14:schemeClr w14:val="tx1"/>
                  </w14:solidFill>
                </w14:textFill>
              </w:rPr>
              <w:t>）</w:t>
            </w:r>
            <w:r>
              <w:rPr>
                <w:caps/>
                <w:color w:val="000000" w:themeColor="text1"/>
                <w:sz w:val="20"/>
                <w:szCs w:val="20"/>
                <w14:textFill>
                  <w14:solidFill>
                    <w14:schemeClr w14:val="tx1"/>
                  </w14:solidFill>
                </w14:textFill>
              </w:rPr>
              <w:t xml:space="preserve"> </w:t>
            </w:r>
            <w:r>
              <w:rPr>
                <w:rFonts w:hint="eastAsia"/>
                <w:caps/>
                <w:color w:val="000000" w:themeColor="text1"/>
                <w:sz w:val="20"/>
                <w:szCs w:val="20"/>
                <w14:textFill>
                  <w14:solidFill>
                    <w14:schemeClr w14:val="tx1"/>
                  </w14:solidFill>
                </w14:textFill>
              </w:rPr>
              <w:t>行政行为是享有行政权能的组织所作的行为；（</w:t>
            </w:r>
            <w:r>
              <w:rPr>
                <w:caps/>
                <w:color w:val="000000" w:themeColor="text1"/>
                <w:sz w:val="20"/>
                <w:szCs w:val="20"/>
                <w14:textFill>
                  <w14:solidFill>
                    <w14:schemeClr w14:val="tx1"/>
                  </w14:solidFill>
                </w14:textFill>
              </w:rPr>
              <w:t>2</w:t>
            </w:r>
            <w:r>
              <w:rPr>
                <w:rFonts w:hint="eastAsia"/>
                <w:caps/>
                <w:color w:val="000000" w:themeColor="text1"/>
                <w:sz w:val="20"/>
                <w:szCs w:val="20"/>
                <w14:textFill>
                  <w14:solidFill>
                    <w14:schemeClr w14:val="tx1"/>
                  </w14:solidFill>
                </w14:textFill>
              </w:rPr>
              <w:t>）行政行为是运用行政权所作的行为；（</w:t>
            </w:r>
            <w:r>
              <w:rPr>
                <w:caps/>
                <w:color w:val="000000" w:themeColor="text1"/>
                <w:sz w:val="20"/>
                <w:szCs w:val="20"/>
                <w14:textFill>
                  <w14:solidFill>
                    <w14:schemeClr w14:val="tx1"/>
                  </w14:solidFill>
                </w14:textFill>
              </w:rPr>
              <w:t>3</w:t>
            </w:r>
            <w:r>
              <w:rPr>
                <w:rFonts w:hint="eastAsia"/>
                <w:caps/>
                <w:color w:val="000000" w:themeColor="text1"/>
                <w:sz w:val="20"/>
                <w:szCs w:val="20"/>
                <w14:textFill>
                  <w14:solidFill>
                    <w14:schemeClr w14:val="tx1"/>
                  </w14:solidFill>
                </w14:textFill>
              </w:rPr>
              <w:t>）行政行为是对相对人产生法律影响的行为。行政行为的内容包括：赋予权利或免除义务，设定义务或剥夺权利，以及确认法律事实或法律地位。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85" w:type="dxa"/>
            <w:vAlign w:val="center"/>
          </w:tcPr>
          <w:p>
            <w:pPr>
              <w:rPr>
                <w:color w:val="000000" w:themeColor="text1"/>
                <w:sz w:val="20"/>
                <w:szCs w:val="20"/>
                <w14:textFill>
                  <w14:solidFill>
                    <w14:schemeClr w14:val="tx1"/>
                  </w14:solidFill>
                </w14:textFill>
              </w:rPr>
            </w:pPr>
            <w:r>
              <w:rPr>
                <w:rFonts w:hint="eastAsia"/>
                <w:color w:val="000000" w:themeColor="text1"/>
                <w:sz w:val="20"/>
                <w:szCs w:val="20"/>
                <w14:textFill>
                  <w14:solidFill>
                    <w14:schemeClr w14:val="tx1"/>
                  </w14:solidFill>
                </w14:textFill>
              </w:rPr>
              <w:t>行政行为的公定力</w:t>
            </w:r>
          </w:p>
        </w:tc>
        <w:tc>
          <w:tcPr>
            <w:tcW w:w="5451" w:type="dxa"/>
            <w:vAlign w:val="center"/>
          </w:tcPr>
          <w:p>
            <w:pPr>
              <w:spacing w:line="340" w:lineRule="exact"/>
              <w:rPr>
                <w:rFonts w:ascii="宋体" w:hAnsi="宋体"/>
                <w:caps/>
                <w:color w:val="000000" w:themeColor="text1"/>
                <w:sz w:val="20"/>
                <w:szCs w:val="20"/>
                <w14:textFill>
                  <w14:solidFill>
                    <w14:schemeClr w14:val="tx1"/>
                  </w14:solidFill>
                </w14:textFill>
              </w:rPr>
            </w:pPr>
            <w:r>
              <w:rPr>
                <w:rFonts w:hint="eastAsia" w:ascii="宋体" w:hAnsi="宋体"/>
                <w:caps/>
                <w:color w:val="000000" w:themeColor="text1"/>
                <w:sz w:val="20"/>
                <w:szCs w:val="20"/>
                <w14:textFill>
                  <w14:solidFill>
                    <w14:schemeClr w14:val="tx1"/>
                  </w14:solidFill>
                </w14:textFill>
              </w:rPr>
              <w:t>行政行为的公定力是指行政行为一经作出，除非有重大、明显的瑕疵</w:t>
            </w:r>
            <w:r>
              <w:rPr>
                <w:rFonts w:hint="eastAsia"/>
                <w:color w:val="000000" w:themeColor="text1"/>
                <w:sz w:val="20"/>
                <w:szCs w:val="20"/>
                <w14:textFill>
                  <w14:solidFill>
                    <w14:schemeClr w14:val="tx1"/>
                  </w14:solidFill>
                </w14:textFill>
              </w:rPr>
              <w:t>情形</w:t>
            </w:r>
            <w:r>
              <w:rPr>
                <w:rFonts w:hint="eastAsia" w:ascii="宋体" w:hAnsi="宋体"/>
                <w:caps/>
                <w:color w:val="000000" w:themeColor="text1"/>
                <w:sz w:val="20"/>
                <w:szCs w:val="20"/>
                <w14:textFill>
                  <w14:solidFill>
                    <w14:schemeClr w14:val="tx1"/>
                  </w14:solidFill>
                </w14:textFill>
              </w:rPr>
              <w:t>，即具有被推定为合法而要求所有组织和个人予以尊重的一种法律效力。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85" w:type="dxa"/>
            <w:vAlign w:val="center"/>
          </w:tcPr>
          <w:p>
            <w:pPr>
              <w:jc w:val="left"/>
              <w:rPr>
                <w:rFonts w:ascii="Times New Roman" w:hAnsi="Times New Roman"/>
                <w:color w:val="000000" w:themeColor="text1"/>
                <w:sz w:val="20"/>
                <w:szCs w:val="20"/>
                <w14:textFill>
                  <w14:solidFill>
                    <w14:schemeClr w14:val="tx1"/>
                  </w14:solidFill>
                </w14:textFill>
              </w:rPr>
            </w:pPr>
            <w:r>
              <w:rPr>
                <w:rFonts w:ascii="Times New Roman" w:hAnsi="Times New Roman"/>
                <w:color w:val="000000" w:themeColor="text1"/>
                <w:sz w:val="20"/>
                <w:szCs w:val="20"/>
                <w14:textFill>
                  <w14:solidFill>
                    <w14:schemeClr w14:val="tx1"/>
                  </w14:solidFill>
                </w14:textFill>
              </w:rPr>
              <w:t>行政行为的确定力</w:t>
            </w:r>
          </w:p>
        </w:tc>
        <w:tc>
          <w:tcPr>
            <w:tcW w:w="5451" w:type="dxa"/>
            <w:vAlign w:val="center"/>
          </w:tcPr>
          <w:p>
            <w:pPr>
              <w:spacing w:line="340" w:lineRule="exact"/>
              <w:rPr>
                <w:rFonts w:ascii="Times New Roman" w:hAnsi="Times New Roman"/>
                <w:caps/>
                <w:color w:val="000000" w:themeColor="text1"/>
                <w:sz w:val="20"/>
                <w:szCs w:val="20"/>
                <w14:textFill>
                  <w14:solidFill>
                    <w14:schemeClr w14:val="tx1"/>
                  </w14:solidFill>
                </w14:textFill>
              </w:rPr>
            </w:pPr>
            <w:r>
              <w:rPr>
                <w:rFonts w:ascii="Times New Roman" w:hAnsi="Times New Roman"/>
                <w:caps/>
                <w:color w:val="000000" w:themeColor="text1"/>
                <w:sz w:val="20"/>
                <w:szCs w:val="20"/>
                <w14:textFill>
                  <w14:solidFill>
                    <w14:schemeClr w14:val="tx1"/>
                  </w14:solidFill>
                </w14:textFill>
              </w:rPr>
              <w:t>行政行为的确定力是指已生效行政行为对行政主体和行政相对人所具有的不受任意改变的法律效力。具体而言，该效力包括：（1）形式确定力：即不可争力，指除无效行政行为外，在复议或诉讼期限届满后行政相对人不能再要求行政主体改变其行为；（2）实质确定力：即一事不再理，指行政主体不得任意改变（如撤销、变更等）自己所作的行政行为，否则应承担相应的法律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85" w:type="dxa"/>
          </w:tcPr>
          <w:p>
            <w:pPr>
              <w:rPr>
                <w:caps/>
                <w:color w:val="000000" w:themeColor="text1"/>
                <w:sz w:val="20"/>
                <w:szCs w:val="20"/>
                <w14:textFill>
                  <w14:solidFill>
                    <w14:schemeClr w14:val="tx1"/>
                  </w14:solidFill>
                </w14:textFill>
              </w:rPr>
            </w:pPr>
            <w:r>
              <w:rPr>
                <w:rFonts w:hint="eastAsia" w:ascii="宋体" w:hAnsi="宋体"/>
                <w:caps/>
                <w:color w:val="000000" w:themeColor="text1"/>
                <w:sz w:val="20"/>
                <w:szCs w:val="20"/>
                <w14:textFill>
                  <w14:solidFill>
                    <w14:schemeClr w14:val="tx1"/>
                  </w14:solidFill>
                </w14:textFill>
              </w:rPr>
              <w:t>行政立法</w:t>
            </w:r>
          </w:p>
        </w:tc>
        <w:tc>
          <w:tcPr>
            <w:tcW w:w="5451" w:type="dxa"/>
          </w:tcPr>
          <w:p>
            <w:pPr>
              <w:spacing w:line="340" w:lineRule="exact"/>
              <w:rPr>
                <w:rFonts w:ascii="宋体"/>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行政立法是行政主体根据法定权限，按照法定程序制定、发布行政法规和规章的活动。行政立法本质上是一种抽象行政行为，但又有具</w:t>
            </w:r>
            <w:r>
              <w:rPr>
                <w:rFonts w:hint="eastAsia" w:ascii="宋体" w:hAnsi="宋体" w:cs="宋体"/>
                <w:caps/>
                <w:color w:val="000000" w:themeColor="text1"/>
                <w:sz w:val="20"/>
                <w:szCs w:val="20"/>
                <w14:textFill>
                  <w14:solidFill>
                    <w14:schemeClr w14:val="tx1"/>
                  </w14:solidFill>
                </w14:textFill>
              </w:rPr>
              <w:t>有“准立法”的性质：一方面，行政立法的目的是为了履行执行机关的工作职能，属于行政管理范畴；另一方面，行政立法是行政机关以国家名义制定社会规范的行为，具有“立法”的形式特征。行政立法的地位居于权力机关立法之下，属于从属性立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85" w:type="dxa"/>
            <w:vAlign w:val="center"/>
          </w:tcPr>
          <w:p>
            <w:pPr>
              <w:rPr>
                <w:color w:val="000000" w:themeColor="text1"/>
                <w:sz w:val="20"/>
                <w:szCs w:val="20"/>
                <w14:textFill>
                  <w14:solidFill>
                    <w14:schemeClr w14:val="tx1"/>
                  </w14:solidFill>
                </w14:textFill>
              </w:rPr>
            </w:pPr>
            <w:r>
              <w:rPr>
                <w:rFonts w:hint="eastAsia"/>
                <w:color w:val="000000" w:themeColor="text1"/>
                <w:sz w:val="20"/>
                <w:szCs w:val="20"/>
                <w14:textFill>
                  <w14:solidFill>
                    <w14:schemeClr w14:val="tx1"/>
                  </w14:solidFill>
                </w14:textFill>
              </w:rPr>
              <w:t>行政强制措施</w:t>
            </w:r>
          </w:p>
        </w:tc>
        <w:tc>
          <w:tcPr>
            <w:tcW w:w="5451" w:type="dxa"/>
            <w:vAlign w:val="center"/>
          </w:tcPr>
          <w:p>
            <w:pPr>
              <w:spacing w:line="340" w:lineRule="exact"/>
              <w:rPr>
                <w:rFonts w:ascii="宋体" w:hAnsi="宋体"/>
                <w:caps/>
                <w:color w:val="000000" w:themeColor="text1"/>
                <w:sz w:val="20"/>
                <w:szCs w:val="20"/>
                <w14:textFill>
                  <w14:solidFill>
                    <w14:schemeClr w14:val="tx1"/>
                  </w14:solidFill>
                </w14:textFill>
              </w:rPr>
            </w:pPr>
            <w:r>
              <w:rPr>
                <w:rFonts w:hint="eastAsia" w:ascii="宋体" w:hAnsi="宋体"/>
                <w:caps/>
                <w:color w:val="000000" w:themeColor="text1"/>
                <w:sz w:val="20"/>
                <w:szCs w:val="20"/>
                <w14:textFill>
                  <w14:solidFill>
                    <w14:schemeClr w14:val="tx1"/>
                  </w14:solidFill>
                </w14:textFill>
              </w:rPr>
              <w:t>行政强制措施，是指行政</w:t>
            </w:r>
            <w:r>
              <w:rPr>
                <w:rFonts w:hint="eastAsia"/>
                <w:color w:val="000000" w:themeColor="text1"/>
                <w:sz w:val="20"/>
                <w:szCs w:val="20"/>
                <w14:textFill>
                  <w14:solidFill>
                    <w14:schemeClr w14:val="tx1"/>
                  </w14:solidFill>
                </w14:textFill>
              </w:rPr>
              <w:t>机关</w:t>
            </w:r>
            <w:r>
              <w:rPr>
                <w:rFonts w:hint="eastAsia" w:ascii="宋体" w:hAnsi="宋体"/>
                <w:caps/>
                <w:color w:val="000000" w:themeColor="text1"/>
                <w:sz w:val="20"/>
                <w:szCs w:val="20"/>
                <w14:textFill>
                  <w14:solidFill>
                    <w14:schemeClr w14:val="tx1"/>
                  </w14:solidFill>
                </w14:textFill>
              </w:rPr>
              <w:t>在行政管理过程中，为制止违法行为、防止证据损毁、避免危害发生、控制危险扩大等情形，依法对公民的人身自由实施暂时性限制，或者对公民、法人或其他组织的财物实施暂时性控制的行为。根据《行政强制法》，行政强制措施的种类主要包括限制人身自由的强制措施和查封、扣押、冻结等限制财产权的强制措施两大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85" w:type="dxa"/>
            <w:vAlign w:val="center"/>
          </w:tcPr>
          <w:p>
            <w:pPr>
              <w:rPr>
                <w:color w:val="000000" w:themeColor="text1"/>
                <w:sz w:val="20"/>
                <w:szCs w:val="20"/>
                <w14:textFill>
                  <w14:solidFill>
                    <w14:schemeClr w14:val="tx1"/>
                  </w14:solidFill>
                </w14:textFill>
              </w:rPr>
            </w:pPr>
            <w:r>
              <w:rPr>
                <w:rFonts w:hint="eastAsia"/>
                <w:color w:val="000000" w:themeColor="text1"/>
                <w:sz w:val="20"/>
                <w:szCs w:val="20"/>
                <w14:textFill>
                  <w14:solidFill>
                    <w14:schemeClr w14:val="tx1"/>
                  </w14:solidFill>
                </w14:textFill>
              </w:rPr>
              <w:t>行政诉讼当事人</w:t>
            </w:r>
          </w:p>
        </w:tc>
        <w:tc>
          <w:tcPr>
            <w:tcW w:w="5451" w:type="dxa"/>
            <w:vAlign w:val="center"/>
          </w:tcPr>
          <w:p>
            <w:pPr>
              <w:rPr>
                <w:rFonts w:ascii="宋体" w:hAnsi="宋体"/>
                <w:caps/>
                <w:color w:val="000000" w:themeColor="text1"/>
                <w:sz w:val="20"/>
                <w:szCs w:val="20"/>
                <w14:textFill>
                  <w14:solidFill>
                    <w14:schemeClr w14:val="tx1"/>
                  </w14:solidFill>
                </w14:textFill>
              </w:rPr>
            </w:pPr>
            <w:r>
              <w:rPr>
                <w:rFonts w:hint="eastAsia" w:ascii="宋体" w:hAnsi="宋体"/>
                <w:caps/>
                <w:color w:val="000000" w:themeColor="text1"/>
                <w:sz w:val="20"/>
                <w:szCs w:val="20"/>
                <w14:textFill>
                  <w14:solidFill>
                    <w14:schemeClr w14:val="tx1"/>
                  </w14:solidFill>
                </w14:textFill>
              </w:rPr>
              <w:t>行政诉讼的当事人，是指因与行政纠纷有利害关系而参加诉讼并受法院裁判约束的人。广义的当事人，包括原告、被告、第三人和共同诉讼人；狭义的当事人仅指原告和被告。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85" w:type="dxa"/>
            <w:vAlign w:val="center"/>
          </w:tcPr>
          <w:p>
            <w:pPr>
              <w:rPr>
                <w:rFonts w:ascii="Times New Roman" w:hAnsi="Times New Roman"/>
                <w:color w:val="000000" w:themeColor="text1"/>
                <w:sz w:val="20"/>
                <w:szCs w:val="20"/>
                <w14:textFill>
                  <w14:solidFill>
                    <w14:schemeClr w14:val="tx1"/>
                  </w14:solidFill>
                </w14:textFill>
              </w:rPr>
            </w:pPr>
            <w:r>
              <w:rPr>
                <w:rFonts w:ascii="Times New Roman" w:hAnsi="Times New Roman"/>
                <w:color w:val="000000" w:themeColor="text1"/>
                <w:sz w:val="20"/>
                <w:szCs w:val="20"/>
                <w14:textFill>
                  <w14:solidFill>
                    <w14:schemeClr w14:val="tx1"/>
                  </w14:solidFill>
                </w14:textFill>
              </w:rPr>
              <w:t>行政诉讼的变更判决</w:t>
            </w:r>
          </w:p>
        </w:tc>
        <w:tc>
          <w:tcPr>
            <w:tcW w:w="5451" w:type="dxa"/>
            <w:vAlign w:val="center"/>
          </w:tcPr>
          <w:p>
            <w:pPr>
              <w:spacing w:line="340" w:lineRule="exact"/>
              <w:rPr>
                <w:rFonts w:ascii="Times New Roman" w:hAnsi="Times New Roman"/>
                <w:caps/>
                <w:color w:val="000000" w:themeColor="text1"/>
                <w:sz w:val="20"/>
                <w:szCs w:val="20"/>
                <w14:textFill>
                  <w14:solidFill>
                    <w14:schemeClr w14:val="tx1"/>
                  </w14:solidFill>
                </w14:textFill>
              </w:rPr>
            </w:pPr>
            <w:r>
              <w:rPr>
                <w:rFonts w:ascii="Times New Roman" w:hAnsi="Times New Roman"/>
                <w:caps/>
                <w:color w:val="000000" w:themeColor="text1"/>
                <w:sz w:val="20"/>
                <w:szCs w:val="20"/>
                <w14:textFill>
                  <w14:solidFill>
                    <w14:schemeClr w14:val="tx1"/>
                  </w14:solidFill>
                </w14:textFill>
              </w:rPr>
              <w:t>行政诉讼的变更判决是指人民法院经审理，运用司法审判权直接改变被诉行政行为的判决。根据《行政诉讼法》的规定，行政处罚明显不当，或者其他行政行为涉及对款额的确定、认定确有错误的，人民法院可以判决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85" w:type="dxa"/>
          </w:tcPr>
          <w:p>
            <w:pPr>
              <w:snapToGrid w:val="0"/>
              <w:spacing w:line="340" w:lineRule="exact"/>
              <w:rPr>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行政诉讼的移送管辖</w:t>
            </w:r>
          </w:p>
        </w:tc>
        <w:tc>
          <w:tcPr>
            <w:tcW w:w="5451" w:type="dxa"/>
          </w:tcPr>
          <w:p>
            <w:pPr>
              <w:spacing w:line="340" w:lineRule="exact"/>
              <w:jc w:val="left"/>
              <w:rPr>
                <w:rFonts w:ascii="宋体"/>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行政诉讼的移送管辖是指人民法院对已受理的行政案件经审查发现不属于本法院管辖时，将案件移送给有管辖权的人民法院管辖的一种法律制度。根据《行政诉讼法》第</w:t>
            </w:r>
            <w:r>
              <w:rPr>
                <w:caps/>
                <w:color w:val="000000" w:themeColor="text1"/>
                <w:sz w:val="20"/>
                <w:szCs w:val="20"/>
                <w14:textFill>
                  <w14:solidFill>
                    <w14:schemeClr w14:val="tx1"/>
                  </w14:solidFill>
                </w14:textFill>
              </w:rPr>
              <w:t>22</w:t>
            </w:r>
            <w:r>
              <w:rPr>
                <w:rFonts w:hint="eastAsia"/>
                <w:caps/>
                <w:color w:val="000000" w:themeColor="text1"/>
                <w:sz w:val="20"/>
                <w:szCs w:val="20"/>
                <w14:textFill>
                  <w14:solidFill>
                    <w14:schemeClr w14:val="tx1"/>
                  </w14:solidFill>
                </w14:textFill>
              </w:rPr>
              <w:t>条的规定，人民法院发现受理的案件不属于本院管辖的，应当移送有管辖权的人民法院，受移送的人民法院应当受理。受移送的人民法院认为受移送的案件按照规定不属于本院管辖的，应当报请上级人民法院指定管辖，不得再自行移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85" w:type="dxa"/>
          </w:tcPr>
          <w:p>
            <w:pPr>
              <w:spacing w:line="340" w:lineRule="exact"/>
              <w:jc w:val="left"/>
              <w:rPr>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行政诉讼的原告</w:t>
            </w:r>
          </w:p>
        </w:tc>
        <w:tc>
          <w:tcPr>
            <w:tcW w:w="5451" w:type="dxa"/>
          </w:tcPr>
          <w:p>
            <w:pPr>
              <w:spacing w:line="340" w:lineRule="exact"/>
              <w:rPr>
                <w:rFonts w:ascii="宋体"/>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行政诉讼原告是指因对行政行为不服而依法提起诉讼的公民、法人或其他组织。《行政诉讼法》第</w:t>
            </w:r>
            <w:r>
              <w:rPr>
                <w:caps/>
                <w:color w:val="000000" w:themeColor="text1"/>
                <w:sz w:val="20"/>
                <w:szCs w:val="20"/>
                <w14:textFill>
                  <w14:solidFill>
                    <w14:schemeClr w14:val="tx1"/>
                  </w14:solidFill>
                </w14:textFill>
              </w:rPr>
              <w:t>25</w:t>
            </w:r>
            <w:r>
              <w:rPr>
                <w:rFonts w:hint="eastAsia"/>
                <w:caps/>
                <w:color w:val="000000" w:themeColor="text1"/>
                <w:sz w:val="20"/>
                <w:szCs w:val="20"/>
                <w14:textFill>
                  <w14:solidFill>
                    <w14:schemeClr w14:val="tx1"/>
                  </w14:solidFill>
                </w14:textFill>
              </w:rPr>
              <w:t>条规定，行政行为的相对人以及其他与行政行为有利害关系的公民、法人或者其他组织，有权提起诉讼。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85" w:type="dxa"/>
          </w:tcPr>
          <w:p>
            <w:pPr>
              <w:spacing w:line="340" w:lineRule="exact"/>
              <w:jc w:val="left"/>
              <w:rPr>
                <w:rFonts w:ascii="宋体"/>
                <w:caps/>
                <w:color w:val="000000" w:themeColor="text1"/>
                <w:sz w:val="20"/>
                <w:szCs w:val="20"/>
                <w14:textFill>
                  <w14:solidFill>
                    <w14:schemeClr w14:val="tx1"/>
                  </w14:solidFill>
                </w14:textFill>
              </w:rPr>
            </w:pPr>
            <w:r>
              <w:rPr>
                <w:rFonts w:hint="eastAsia" w:ascii="宋体" w:hAnsi="宋体"/>
                <w:caps/>
                <w:color w:val="000000" w:themeColor="text1"/>
                <w:sz w:val="20"/>
                <w:szCs w:val="20"/>
                <w14:textFill>
                  <w14:solidFill>
                    <w14:schemeClr w14:val="tx1"/>
                  </w14:solidFill>
                </w14:textFill>
              </w:rPr>
              <w:t>行政许可</w:t>
            </w:r>
          </w:p>
        </w:tc>
        <w:tc>
          <w:tcPr>
            <w:tcW w:w="5451" w:type="dxa"/>
          </w:tcPr>
          <w:p>
            <w:pPr>
              <w:rPr>
                <w:rFonts w:ascii="宋体"/>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行政许可是行政主体根据公民、法人或者其他组织的申请，经依法审查，准予其从事特定活动的行为。行政许可具有以下特征：（</w:t>
            </w:r>
            <w:r>
              <w:rPr>
                <w:caps/>
                <w:color w:val="000000" w:themeColor="text1"/>
                <w:sz w:val="20"/>
                <w:szCs w:val="20"/>
                <w14:textFill>
                  <w14:solidFill>
                    <w14:schemeClr w14:val="tx1"/>
                  </w14:solidFill>
                </w14:textFill>
              </w:rPr>
              <w:t>1</w:t>
            </w:r>
            <w:r>
              <w:rPr>
                <w:rFonts w:hint="eastAsia"/>
                <w:caps/>
                <w:color w:val="000000" w:themeColor="text1"/>
                <w:sz w:val="20"/>
                <w:szCs w:val="20"/>
                <w14:textFill>
                  <w14:solidFill>
                    <w14:schemeClr w14:val="tx1"/>
                  </w14:solidFill>
                </w14:textFill>
              </w:rPr>
              <w:t>）行政许可是一种依申请行政行为，即行政许可决定的作出，必须以当事人的申请为前提；（</w:t>
            </w:r>
            <w:r>
              <w:rPr>
                <w:caps/>
                <w:color w:val="000000" w:themeColor="text1"/>
                <w:sz w:val="20"/>
                <w:szCs w:val="20"/>
                <w14:textFill>
                  <w14:solidFill>
                    <w14:schemeClr w14:val="tx1"/>
                  </w14:solidFill>
                </w14:textFill>
              </w:rPr>
              <w:t>2</w:t>
            </w:r>
            <w:r>
              <w:rPr>
                <w:rFonts w:hint="eastAsia"/>
                <w:caps/>
                <w:color w:val="000000" w:themeColor="text1"/>
                <w:sz w:val="20"/>
                <w:szCs w:val="20"/>
                <w14:textFill>
                  <w14:solidFill>
                    <w14:schemeClr w14:val="tx1"/>
                  </w14:solidFill>
                </w14:textFill>
              </w:rPr>
              <w:t>）行政许可是一种授益行政行为。行政机关一旦作出准予许可的决定，就意味着准许相对人从事某种特定活动，相对人可以行使相关权利并获得相关利益；（</w:t>
            </w:r>
            <w:r>
              <w:rPr>
                <w:caps/>
                <w:color w:val="000000" w:themeColor="text1"/>
                <w:sz w:val="20"/>
                <w:szCs w:val="20"/>
                <w14:textFill>
                  <w14:solidFill>
                    <w14:schemeClr w14:val="tx1"/>
                  </w14:solidFill>
                </w14:textFill>
              </w:rPr>
              <w:t>3</w:t>
            </w:r>
            <w:r>
              <w:rPr>
                <w:rFonts w:hint="eastAsia"/>
                <w:caps/>
                <w:color w:val="000000" w:themeColor="text1"/>
                <w:sz w:val="20"/>
                <w:szCs w:val="20"/>
                <w14:textFill>
                  <w14:solidFill>
                    <w14:schemeClr w14:val="tx1"/>
                  </w14:solidFill>
                </w14:textFill>
              </w:rPr>
              <w:t>）行政许可是要式行政行为，即行政许可应遵循一定的法定程序，以正规文书、格式、日期、印章等形式予以批准、认可和证明。</w:t>
            </w:r>
          </w:p>
        </w:tc>
      </w:tr>
    </w:tbl>
    <w:p>
      <w:pPr>
        <w:rPr>
          <w:rFonts w:ascii="宋体"/>
          <w:color w:val="000000" w:themeColor="text1"/>
          <w:szCs w:val="21"/>
          <w14:textFill>
            <w14:solidFill>
              <w14:schemeClr w14:val="tx1"/>
            </w14:solidFill>
          </w14:textFill>
        </w:rPr>
      </w:pPr>
    </w:p>
    <w:p>
      <w:pP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六、案例分析题</w:t>
      </w:r>
    </w:p>
    <w:tbl>
      <w:tblPr>
        <w:tblStyle w:val="7"/>
        <w:tblpPr w:leftFromText="180" w:rightFromText="180" w:vertAnchor="text" w:tblpY="1"/>
        <w:tblOverlap w:val="never"/>
        <w:tblW w:w="86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8" w:type="dxa"/>
            <w:vAlign w:val="center"/>
          </w:tcPr>
          <w:p>
            <w:pPr>
              <w:snapToGrid w:val="0"/>
              <w:spacing w:line="340" w:lineRule="exact"/>
              <w:rPr>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顺宁公司于</w:t>
            </w:r>
            <w:r>
              <w:rPr>
                <w:caps/>
                <w:color w:val="000000" w:themeColor="text1"/>
                <w:sz w:val="20"/>
                <w:szCs w:val="20"/>
                <w14:textFill>
                  <w14:solidFill>
                    <w14:schemeClr w14:val="tx1"/>
                  </w14:solidFill>
                </w14:textFill>
              </w:rPr>
              <w:t>2008</w:t>
            </w:r>
            <w:r>
              <w:rPr>
                <w:rFonts w:hint="eastAsia"/>
                <w:caps/>
                <w:color w:val="000000" w:themeColor="text1"/>
                <w:sz w:val="20"/>
                <w:szCs w:val="20"/>
                <w14:textFill>
                  <w14:solidFill>
                    <w14:schemeClr w14:val="tx1"/>
                  </w14:solidFill>
                </w14:textFill>
              </w:rPr>
              <w:t>年</w:t>
            </w:r>
            <w:r>
              <w:rPr>
                <w:caps/>
                <w:color w:val="000000" w:themeColor="text1"/>
                <w:sz w:val="20"/>
                <w:szCs w:val="20"/>
                <w14:textFill>
                  <w14:solidFill>
                    <w14:schemeClr w14:val="tx1"/>
                  </w14:solidFill>
                </w14:textFill>
              </w:rPr>
              <w:t>6</w:t>
            </w:r>
            <w:r>
              <w:rPr>
                <w:rFonts w:hint="eastAsia"/>
                <w:caps/>
                <w:color w:val="000000" w:themeColor="text1"/>
                <w:sz w:val="20"/>
                <w:szCs w:val="20"/>
                <w14:textFill>
                  <w14:solidFill>
                    <w14:schemeClr w14:val="tx1"/>
                  </w14:solidFill>
                </w14:textFill>
              </w:rPr>
              <w:t>月办理了双塔西街</w:t>
            </w:r>
            <w:r>
              <w:rPr>
                <w:caps/>
                <w:color w:val="000000" w:themeColor="text1"/>
                <w:sz w:val="20"/>
                <w:szCs w:val="20"/>
                <w14:textFill>
                  <w14:solidFill>
                    <w14:schemeClr w14:val="tx1"/>
                  </w14:solidFill>
                </w14:textFill>
              </w:rPr>
              <w:t>152</w:t>
            </w:r>
            <w:r>
              <w:rPr>
                <w:rFonts w:hint="eastAsia"/>
                <w:caps/>
                <w:color w:val="000000" w:themeColor="text1"/>
                <w:sz w:val="20"/>
                <w:szCs w:val="20"/>
                <w14:textFill>
                  <w14:solidFill>
                    <w14:schemeClr w14:val="tx1"/>
                  </w14:solidFill>
                </w14:textFill>
              </w:rPr>
              <w:t>号的国有土地使用证和房屋产权证。</w:t>
            </w:r>
            <w:r>
              <w:rPr>
                <w:caps/>
                <w:color w:val="000000" w:themeColor="text1"/>
                <w:sz w:val="20"/>
                <w:szCs w:val="20"/>
                <w14:textFill>
                  <w14:solidFill>
                    <w14:schemeClr w14:val="tx1"/>
                  </w14:solidFill>
                </w14:textFill>
              </w:rPr>
              <w:t>2018</w:t>
            </w:r>
            <w:r>
              <w:rPr>
                <w:rFonts w:hint="eastAsia"/>
                <w:caps/>
                <w:color w:val="000000" w:themeColor="text1"/>
                <w:sz w:val="20"/>
                <w:szCs w:val="20"/>
                <w14:textFill>
                  <w14:solidFill>
                    <w14:schemeClr w14:val="tx1"/>
                  </w14:solidFill>
                </w14:textFill>
              </w:rPr>
              <w:t>年</w:t>
            </w:r>
            <w:r>
              <w:rPr>
                <w:caps/>
                <w:color w:val="000000" w:themeColor="text1"/>
                <w:sz w:val="20"/>
                <w:szCs w:val="20"/>
                <w14:textFill>
                  <w14:solidFill>
                    <w14:schemeClr w14:val="tx1"/>
                  </w14:solidFill>
                </w14:textFill>
              </w:rPr>
              <w:t>9</w:t>
            </w:r>
            <w:r>
              <w:rPr>
                <w:rFonts w:hint="eastAsia"/>
                <w:caps/>
                <w:color w:val="000000" w:themeColor="text1"/>
                <w:sz w:val="20"/>
                <w:szCs w:val="20"/>
                <w14:textFill>
                  <w14:solidFill>
                    <w14:schemeClr w14:val="tx1"/>
                  </w14:solidFill>
                </w14:textFill>
              </w:rPr>
              <w:t>月，市规划和自然资源局发布《通告》，为实现城市规划而实施道路建设改造工程，决定收回新城区道路建设所涉及的</w:t>
            </w:r>
            <w:r>
              <w:rPr>
                <w:caps/>
                <w:color w:val="000000" w:themeColor="text1"/>
                <w:sz w:val="20"/>
                <w:szCs w:val="20"/>
                <w14:textFill>
                  <w14:solidFill>
                    <w14:schemeClr w14:val="tx1"/>
                  </w14:solidFill>
                </w14:textFill>
              </w:rPr>
              <w:t>87</w:t>
            </w:r>
            <w:r>
              <w:rPr>
                <w:rFonts w:hint="eastAsia"/>
                <w:caps/>
                <w:color w:val="000000" w:themeColor="text1"/>
                <w:sz w:val="20"/>
                <w:szCs w:val="20"/>
                <w14:textFill>
                  <w14:solidFill>
                    <w14:schemeClr w14:val="tx1"/>
                  </w14:solidFill>
                </w14:textFill>
              </w:rPr>
              <w:t>个单位合计</w:t>
            </w:r>
            <w:r>
              <w:rPr>
                <w:caps/>
                <w:color w:val="000000" w:themeColor="text1"/>
                <w:sz w:val="20"/>
                <w:szCs w:val="20"/>
                <w14:textFill>
                  <w14:solidFill>
                    <w14:schemeClr w14:val="tx1"/>
                  </w14:solidFill>
                </w14:textFill>
              </w:rPr>
              <w:t>716</w:t>
            </w:r>
            <w:r>
              <w:rPr>
                <w:rFonts w:hint="eastAsia"/>
                <w:caps/>
                <w:color w:val="000000" w:themeColor="text1"/>
                <w:sz w:val="20"/>
                <w:szCs w:val="20"/>
                <w14:textFill>
                  <w14:solidFill>
                    <w14:schemeClr w14:val="tx1"/>
                  </w14:solidFill>
                </w14:textFill>
              </w:rPr>
              <w:t>亩的国有土地使用权。其中，顺宁公司正在使用的土地属于《通告》的征收范围。顺宁公司对《通告》决定内容不服，向市政府申请行政复议，市政府在法定期限内并未作出复议决定。顺宁公司不服，欲向法院提起行政诉讼。</w:t>
            </w:r>
          </w:p>
          <w:p>
            <w:pPr>
              <w:snapToGrid w:val="0"/>
              <w:spacing w:line="340" w:lineRule="exact"/>
              <w:rPr>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请问：</w:t>
            </w:r>
          </w:p>
          <w:p>
            <w:pPr>
              <w:snapToGrid w:val="0"/>
              <w:spacing w:line="340" w:lineRule="exact"/>
              <w:rPr>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w:t>
            </w:r>
            <w:r>
              <w:rPr>
                <w:caps/>
                <w:color w:val="000000" w:themeColor="text1"/>
                <w:sz w:val="20"/>
                <w:szCs w:val="20"/>
                <w14:textFill>
                  <w14:solidFill>
                    <w14:schemeClr w14:val="tx1"/>
                  </w14:solidFill>
                </w14:textFill>
              </w:rPr>
              <w:t>1</w:t>
            </w:r>
            <w:r>
              <w:rPr>
                <w:rFonts w:hint="eastAsia"/>
                <w:caps/>
                <w:color w:val="000000" w:themeColor="text1"/>
                <w:sz w:val="20"/>
                <w:szCs w:val="20"/>
                <w14:textFill>
                  <w14:solidFill>
                    <w14:schemeClr w14:val="tx1"/>
                  </w14:solidFill>
                </w14:textFill>
              </w:rPr>
              <w:t>）市规划和自然资源局发布的《通告》是否属于抽象行政行为？请说明理由。</w:t>
            </w:r>
          </w:p>
          <w:p>
            <w:pPr>
              <w:snapToGrid w:val="0"/>
              <w:spacing w:line="340" w:lineRule="exact"/>
              <w:rPr>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w:t>
            </w:r>
            <w:r>
              <w:rPr>
                <w:caps/>
                <w:color w:val="000000" w:themeColor="text1"/>
                <w:sz w:val="20"/>
                <w:szCs w:val="20"/>
                <w14:textFill>
                  <w14:solidFill>
                    <w14:schemeClr w14:val="tx1"/>
                  </w14:solidFill>
                </w14:textFill>
              </w:rPr>
              <w:t>2</w:t>
            </w:r>
            <w:r>
              <w:rPr>
                <w:rFonts w:hint="eastAsia"/>
                <w:caps/>
                <w:color w:val="000000" w:themeColor="text1"/>
                <w:sz w:val="20"/>
                <w:szCs w:val="20"/>
                <w14:textFill>
                  <w14:solidFill>
                    <w14:schemeClr w14:val="tx1"/>
                  </w14:solidFill>
                </w14:textFill>
              </w:rPr>
              <w:t>）若顺宁公司以不服《通告》决定内容为由起诉，应当以谁为被告？案件应当由哪个法院管辖？请说明理由。</w:t>
            </w:r>
          </w:p>
          <w:p>
            <w:pPr>
              <w:snapToGrid w:val="0"/>
              <w:spacing w:line="340" w:lineRule="exact"/>
              <w:rPr>
                <w:color w:val="000000" w:themeColor="text1"/>
                <w:sz w:val="20"/>
                <w:szCs w:val="20"/>
                <w14:textFill>
                  <w14:solidFill>
                    <w14:schemeClr w14:val="tx1"/>
                  </w14:solidFill>
                </w14:textFill>
              </w:rPr>
            </w:pPr>
          </w:p>
        </w:tc>
        <w:tc>
          <w:tcPr>
            <w:tcW w:w="3969" w:type="dxa"/>
            <w:vAlign w:val="center"/>
          </w:tcPr>
          <w:p>
            <w:pPr>
              <w:pStyle w:val="5"/>
              <w:widowControl/>
              <w:tabs>
                <w:tab w:val="left" w:pos="499"/>
              </w:tabs>
              <w:spacing w:before="0" w:beforeAutospacing="0" w:after="0" w:afterAutospacing="0" w:line="270" w:lineRule="atLeast"/>
              <w:jc w:val="both"/>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t>（1）不属于。市规划和自然资源局发布的《通告》是针对特定对象（即新城区道路建设所涉及的87个单位）作出的，不属于抽象行政行为，而是具体行政行为。</w:t>
            </w:r>
          </w:p>
          <w:p>
            <w:pPr>
              <w:pStyle w:val="5"/>
              <w:widowControl/>
              <w:tabs>
                <w:tab w:val="left" w:pos="499"/>
              </w:tabs>
              <w:spacing w:before="0" w:beforeAutospacing="0" w:after="0" w:afterAutospacing="0" w:line="270" w:lineRule="atLeast"/>
              <w:jc w:val="both"/>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t>（2）若顺宁公司以不服《通告》决定内容为由起诉，</w:t>
            </w:r>
            <w:r>
              <w:rPr>
                <w:caps/>
                <w:color w:val="000000" w:themeColor="text1"/>
                <w:sz w:val="20"/>
                <w:szCs w:val="20"/>
                <w14:textFill>
                  <w14:solidFill>
                    <w14:schemeClr w14:val="tx1"/>
                  </w14:solidFill>
                </w14:textFill>
              </w:rPr>
              <w:t>应当以</w:t>
            </w:r>
            <w:r>
              <w:rPr>
                <w:color w:val="000000" w:themeColor="text1"/>
                <w:sz w:val="20"/>
                <w:szCs w:val="20"/>
                <w14:textFill>
                  <w14:solidFill>
                    <w14:schemeClr w14:val="tx1"/>
                  </w14:solidFill>
                </w14:textFill>
              </w:rPr>
              <w:t>市规划和自然资源局为被告，案件应</w:t>
            </w:r>
            <w:r>
              <w:rPr>
                <w:caps/>
                <w:color w:val="000000" w:themeColor="text1"/>
                <w:sz w:val="20"/>
                <w:szCs w:val="20"/>
                <w14:textFill>
                  <w14:solidFill>
                    <w14:schemeClr w14:val="tx1"/>
                  </w14:solidFill>
                </w14:textFill>
              </w:rPr>
              <w:t>由不动产</w:t>
            </w:r>
            <w:r>
              <w:rPr>
                <w:color w:val="000000" w:themeColor="text1"/>
                <w:sz w:val="20"/>
                <w:szCs w:val="20"/>
                <w14:textFill>
                  <w14:solidFill>
                    <w14:schemeClr w14:val="tx1"/>
                  </w14:solidFill>
                </w14:textFill>
              </w:rPr>
              <w:t>（即涉及征收的土地）所在地的基层人民法院管辖。根据《行政诉讼法》第14条、第20条和第26条的规定，复议机关在法定期限内未作出复议决定，公民、法人或者其他组织起诉原行政行为的，作出原行政行为的行政机关是被告。同时，</w:t>
            </w:r>
          </w:p>
          <w:p>
            <w:pPr>
              <w:pStyle w:val="5"/>
              <w:widowControl/>
              <w:tabs>
                <w:tab w:val="left" w:pos="499"/>
              </w:tabs>
              <w:spacing w:before="0" w:beforeAutospacing="0" w:after="0" w:afterAutospacing="0" w:line="270" w:lineRule="atLeast"/>
              <w:jc w:val="both"/>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t>因不动产提起的行政诉讼，由不动产所在地人民法院专属管辖。此外，由于本案被告并非县级以上地方人民政府，不符合由中级人民法院管辖第一审行政案件的情形。所以，案件应</w:t>
            </w:r>
            <w:r>
              <w:rPr>
                <w:caps/>
                <w:color w:val="000000" w:themeColor="text1"/>
                <w:sz w:val="20"/>
                <w:szCs w:val="20"/>
                <w14:textFill>
                  <w14:solidFill>
                    <w14:schemeClr w14:val="tx1"/>
                  </w14:solidFill>
                </w14:textFill>
              </w:rPr>
              <w:t>由不动产</w:t>
            </w:r>
            <w:r>
              <w:rPr>
                <w:color w:val="000000" w:themeColor="text1"/>
                <w:sz w:val="20"/>
                <w:szCs w:val="20"/>
                <w14:textFill>
                  <w14:solidFill>
                    <w14:schemeClr w14:val="tx1"/>
                  </w14:solidFill>
                </w14:textFill>
              </w:rPr>
              <w:t>所在地的基层人民法院管辖。</w:t>
            </w:r>
          </w:p>
          <w:p>
            <w:pPr>
              <w:snapToGrid w:val="0"/>
              <w:spacing w:line="340" w:lineRule="exact"/>
              <w:rPr>
                <w:rFonts w:ascii="宋体"/>
                <w:caps/>
                <w:color w:val="000000" w:themeColor="text1"/>
                <w:sz w:val="20"/>
                <w:szCs w:val="2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8" w:type="dxa"/>
          </w:tcPr>
          <w:p>
            <w:pPr>
              <w:snapToGrid w:val="0"/>
              <w:spacing w:line="340" w:lineRule="exact"/>
              <w:rPr>
                <w:caps/>
                <w:color w:val="000000" w:themeColor="text1"/>
                <w:sz w:val="20"/>
                <w:szCs w:val="20"/>
                <w14:textFill>
                  <w14:solidFill>
                    <w14:schemeClr w14:val="tx1"/>
                  </w14:solidFill>
                </w14:textFill>
              </w:rPr>
            </w:pPr>
            <w:r>
              <w:rPr>
                <w:caps/>
                <w:color w:val="000000" w:themeColor="text1"/>
                <w:sz w:val="20"/>
                <w:szCs w:val="20"/>
                <w14:textFill>
                  <w14:solidFill>
                    <w14:schemeClr w14:val="tx1"/>
                  </w14:solidFill>
                </w14:textFill>
              </w:rPr>
              <w:t>2017</w:t>
            </w:r>
            <w:r>
              <w:rPr>
                <w:rFonts w:hint="eastAsia"/>
                <w:caps/>
                <w:color w:val="000000" w:themeColor="text1"/>
                <w:sz w:val="20"/>
                <w:szCs w:val="20"/>
                <w14:textFill>
                  <w14:solidFill>
                    <w14:schemeClr w14:val="tx1"/>
                  </w14:solidFill>
                </w14:textFill>
              </w:rPr>
              <w:t>年</w:t>
            </w:r>
            <w:r>
              <w:rPr>
                <w:caps/>
                <w:color w:val="000000" w:themeColor="text1"/>
                <w:sz w:val="20"/>
                <w:szCs w:val="20"/>
                <w14:textFill>
                  <w14:solidFill>
                    <w14:schemeClr w14:val="tx1"/>
                  </w14:solidFill>
                </w14:textFill>
              </w:rPr>
              <w:t>6</w:t>
            </w:r>
            <w:r>
              <w:rPr>
                <w:rFonts w:hint="eastAsia"/>
                <w:caps/>
                <w:color w:val="000000" w:themeColor="text1"/>
                <w:sz w:val="20"/>
                <w:szCs w:val="20"/>
                <w14:textFill>
                  <w14:solidFill>
                    <w14:schemeClr w14:val="tx1"/>
                  </w14:solidFill>
                </w14:textFill>
              </w:rPr>
              <w:t>月</w:t>
            </w:r>
            <w:r>
              <w:rPr>
                <w:caps/>
                <w:color w:val="000000" w:themeColor="text1"/>
                <w:sz w:val="20"/>
                <w:szCs w:val="20"/>
                <w14:textFill>
                  <w14:solidFill>
                    <w14:schemeClr w14:val="tx1"/>
                  </w14:solidFill>
                </w14:textFill>
              </w:rPr>
              <w:t>18</w:t>
            </w:r>
            <w:r>
              <w:rPr>
                <w:rFonts w:hint="eastAsia"/>
                <w:caps/>
                <w:color w:val="000000" w:themeColor="text1"/>
                <w:sz w:val="20"/>
                <w:szCs w:val="20"/>
                <w14:textFill>
                  <w14:solidFill>
                    <w14:schemeClr w14:val="tx1"/>
                  </w14:solidFill>
                </w14:textFill>
              </w:rPr>
              <w:t>日，甲驾驶残疾人专用三轮车搭乘两名客人，被</w:t>
            </w:r>
            <w:r>
              <w:rPr>
                <w:caps/>
                <w:color w:val="000000" w:themeColor="text1"/>
                <w:sz w:val="20"/>
                <w:szCs w:val="20"/>
                <w14:textFill>
                  <w14:solidFill>
                    <w14:schemeClr w14:val="tx1"/>
                  </w14:solidFill>
                </w14:textFill>
              </w:rPr>
              <w:t>Y</w:t>
            </w:r>
            <w:r>
              <w:rPr>
                <w:rFonts w:hint="eastAsia"/>
                <w:caps/>
                <w:color w:val="000000" w:themeColor="text1"/>
                <w:sz w:val="20"/>
                <w:szCs w:val="20"/>
                <w14:textFill>
                  <w14:solidFill>
                    <w14:schemeClr w14:val="tx1"/>
                  </w14:solidFill>
                </w14:textFill>
              </w:rPr>
              <w:t>市</w:t>
            </w:r>
            <w:r>
              <w:rPr>
                <w:caps/>
                <w:color w:val="000000" w:themeColor="text1"/>
                <w:sz w:val="20"/>
                <w:szCs w:val="20"/>
                <w14:textFill>
                  <w14:solidFill>
                    <w14:schemeClr w14:val="tx1"/>
                  </w14:solidFill>
                </w14:textFill>
              </w:rPr>
              <w:t>Z</w:t>
            </w:r>
            <w:r>
              <w:rPr>
                <w:rFonts w:hint="eastAsia"/>
                <w:caps/>
                <w:color w:val="000000" w:themeColor="text1"/>
                <w:sz w:val="20"/>
                <w:szCs w:val="20"/>
                <w14:textFill>
                  <w14:solidFill>
                    <w14:schemeClr w14:val="tx1"/>
                  </w14:solidFill>
                </w14:textFill>
              </w:rPr>
              <w:t>区公安局便衣民警截停。民警要求甲出示有关证件接受检查，甲则要求民警出示工作证件，双方发生口角。</w:t>
            </w:r>
            <w:r>
              <w:rPr>
                <w:caps/>
                <w:color w:val="000000" w:themeColor="text1"/>
                <w:sz w:val="20"/>
                <w:szCs w:val="20"/>
                <w14:textFill>
                  <w14:solidFill>
                    <w14:schemeClr w14:val="tx1"/>
                  </w14:solidFill>
                </w14:textFill>
              </w:rPr>
              <w:t>Z</w:t>
            </w:r>
            <w:r>
              <w:rPr>
                <w:rFonts w:hint="eastAsia"/>
                <w:caps/>
                <w:color w:val="000000" w:themeColor="text1"/>
                <w:sz w:val="20"/>
                <w:szCs w:val="20"/>
                <w14:textFill>
                  <w14:solidFill>
                    <w14:schemeClr w14:val="tx1"/>
                  </w14:solidFill>
                </w14:textFill>
              </w:rPr>
              <w:t>区公安局遂以甲妨碍执行公务为由，决定对此甲处以行政拘留</w:t>
            </w:r>
            <w:r>
              <w:rPr>
                <w:caps/>
                <w:color w:val="000000" w:themeColor="text1"/>
                <w:sz w:val="20"/>
                <w:szCs w:val="20"/>
                <w14:textFill>
                  <w14:solidFill>
                    <w14:schemeClr w14:val="tx1"/>
                  </w14:solidFill>
                </w14:textFill>
              </w:rPr>
              <w:t>5</w:t>
            </w:r>
            <w:r>
              <w:rPr>
                <w:rFonts w:hint="eastAsia"/>
                <w:caps/>
                <w:color w:val="000000" w:themeColor="text1"/>
                <w:sz w:val="20"/>
                <w:szCs w:val="20"/>
                <w14:textFill>
                  <w14:solidFill>
                    <w14:schemeClr w14:val="tx1"/>
                  </w14:solidFill>
                </w14:textFill>
              </w:rPr>
              <w:t>天的处罚。甲不服，向</w:t>
            </w:r>
            <w:r>
              <w:rPr>
                <w:caps/>
                <w:color w:val="000000" w:themeColor="text1"/>
                <w:sz w:val="20"/>
                <w:szCs w:val="20"/>
                <w14:textFill>
                  <w14:solidFill>
                    <w14:schemeClr w14:val="tx1"/>
                  </w14:solidFill>
                </w14:textFill>
              </w:rPr>
              <w:t>Y</w:t>
            </w:r>
            <w:r>
              <w:rPr>
                <w:rFonts w:hint="eastAsia"/>
                <w:caps/>
                <w:color w:val="000000" w:themeColor="text1"/>
                <w:sz w:val="20"/>
                <w:szCs w:val="20"/>
                <w14:textFill>
                  <w14:solidFill>
                    <w14:schemeClr w14:val="tx1"/>
                  </w14:solidFill>
                </w14:textFill>
              </w:rPr>
              <w:t>市公安局申请行政复议。</w:t>
            </w:r>
            <w:r>
              <w:rPr>
                <w:caps/>
                <w:color w:val="000000" w:themeColor="text1"/>
                <w:sz w:val="20"/>
                <w:szCs w:val="20"/>
                <w14:textFill>
                  <w14:solidFill>
                    <w14:schemeClr w14:val="tx1"/>
                  </w14:solidFill>
                </w14:textFill>
              </w:rPr>
              <w:t>Y</w:t>
            </w:r>
            <w:r>
              <w:rPr>
                <w:rFonts w:hint="eastAsia"/>
                <w:caps/>
                <w:color w:val="000000" w:themeColor="text1"/>
                <w:sz w:val="20"/>
                <w:szCs w:val="20"/>
                <w14:textFill>
                  <w14:solidFill>
                    <w14:schemeClr w14:val="tx1"/>
                  </w14:solidFill>
                </w14:textFill>
              </w:rPr>
              <w:t>市公安局于</w:t>
            </w:r>
            <w:r>
              <w:rPr>
                <w:caps/>
                <w:color w:val="000000" w:themeColor="text1"/>
                <w:sz w:val="20"/>
                <w:szCs w:val="20"/>
                <w14:textFill>
                  <w14:solidFill>
                    <w14:schemeClr w14:val="tx1"/>
                  </w14:solidFill>
                </w14:textFill>
              </w:rPr>
              <w:t>2017</w:t>
            </w:r>
            <w:r>
              <w:rPr>
                <w:rFonts w:hint="eastAsia"/>
                <w:caps/>
                <w:color w:val="000000" w:themeColor="text1"/>
                <w:sz w:val="20"/>
                <w:szCs w:val="20"/>
                <w14:textFill>
                  <w14:solidFill>
                    <w14:schemeClr w14:val="tx1"/>
                  </w14:solidFill>
                </w14:textFill>
              </w:rPr>
              <w:t>年</w:t>
            </w:r>
            <w:r>
              <w:rPr>
                <w:caps/>
                <w:color w:val="000000" w:themeColor="text1"/>
                <w:sz w:val="20"/>
                <w:szCs w:val="20"/>
                <w14:textFill>
                  <w14:solidFill>
                    <w14:schemeClr w14:val="tx1"/>
                  </w14:solidFill>
                </w14:textFill>
              </w:rPr>
              <w:t>7</w:t>
            </w:r>
            <w:r>
              <w:rPr>
                <w:rFonts w:hint="eastAsia"/>
                <w:caps/>
                <w:color w:val="000000" w:themeColor="text1"/>
                <w:sz w:val="20"/>
                <w:szCs w:val="20"/>
                <w14:textFill>
                  <w14:solidFill>
                    <w14:schemeClr w14:val="tx1"/>
                  </w14:solidFill>
                </w14:textFill>
              </w:rPr>
              <w:t>月</w:t>
            </w:r>
            <w:r>
              <w:rPr>
                <w:caps/>
                <w:color w:val="000000" w:themeColor="text1"/>
                <w:sz w:val="20"/>
                <w:szCs w:val="20"/>
                <w14:textFill>
                  <w14:solidFill>
                    <w14:schemeClr w14:val="tx1"/>
                  </w14:solidFill>
                </w14:textFill>
              </w:rPr>
              <w:t>6</w:t>
            </w:r>
            <w:r>
              <w:rPr>
                <w:rFonts w:hint="eastAsia"/>
                <w:caps/>
                <w:color w:val="000000" w:themeColor="text1"/>
                <w:sz w:val="20"/>
                <w:szCs w:val="20"/>
                <w14:textFill>
                  <w14:solidFill>
                    <w14:schemeClr w14:val="tx1"/>
                  </w14:solidFill>
                </w14:textFill>
              </w:rPr>
              <w:t>日作出复议决定，将拘留</w:t>
            </w:r>
            <w:r>
              <w:rPr>
                <w:caps/>
                <w:color w:val="000000" w:themeColor="text1"/>
                <w:sz w:val="20"/>
                <w:szCs w:val="20"/>
                <w14:textFill>
                  <w14:solidFill>
                    <w14:schemeClr w14:val="tx1"/>
                  </w14:solidFill>
                </w14:textFill>
              </w:rPr>
              <w:t>5</w:t>
            </w:r>
            <w:r>
              <w:rPr>
                <w:rFonts w:hint="eastAsia"/>
                <w:caps/>
                <w:color w:val="000000" w:themeColor="text1"/>
                <w:sz w:val="20"/>
                <w:szCs w:val="20"/>
                <w14:textFill>
                  <w14:solidFill>
                    <w14:schemeClr w14:val="tx1"/>
                  </w14:solidFill>
                </w14:textFill>
              </w:rPr>
              <w:t>天处罚改为罚款</w:t>
            </w:r>
            <w:r>
              <w:rPr>
                <w:caps/>
                <w:color w:val="000000" w:themeColor="text1"/>
                <w:sz w:val="20"/>
                <w:szCs w:val="20"/>
                <w14:textFill>
                  <w14:solidFill>
                    <w14:schemeClr w14:val="tx1"/>
                  </w14:solidFill>
                </w14:textFill>
              </w:rPr>
              <w:t>200</w:t>
            </w:r>
            <w:r>
              <w:rPr>
                <w:rFonts w:hint="eastAsia"/>
                <w:caps/>
                <w:color w:val="000000" w:themeColor="text1"/>
                <w:sz w:val="20"/>
                <w:szCs w:val="20"/>
                <w14:textFill>
                  <w14:solidFill>
                    <w14:schemeClr w14:val="tx1"/>
                  </w14:solidFill>
                </w14:textFill>
              </w:rPr>
              <w:t>元。</w:t>
            </w:r>
            <w:r>
              <w:rPr>
                <w:caps/>
                <w:color w:val="000000" w:themeColor="text1"/>
                <w:sz w:val="20"/>
                <w:szCs w:val="20"/>
                <w14:textFill>
                  <w14:solidFill>
                    <w14:schemeClr w14:val="tx1"/>
                  </w14:solidFill>
                </w14:textFill>
              </w:rPr>
              <w:t>2017</w:t>
            </w:r>
            <w:r>
              <w:rPr>
                <w:rFonts w:hint="eastAsia"/>
                <w:caps/>
                <w:color w:val="000000" w:themeColor="text1"/>
                <w:sz w:val="20"/>
                <w:szCs w:val="20"/>
                <w14:textFill>
                  <w14:solidFill>
                    <w14:schemeClr w14:val="tx1"/>
                  </w14:solidFill>
                </w14:textFill>
              </w:rPr>
              <w:t>年</w:t>
            </w:r>
            <w:r>
              <w:rPr>
                <w:caps/>
                <w:color w:val="000000" w:themeColor="text1"/>
                <w:sz w:val="20"/>
                <w:szCs w:val="20"/>
                <w14:textFill>
                  <w14:solidFill>
                    <w14:schemeClr w14:val="tx1"/>
                  </w14:solidFill>
                </w14:textFill>
              </w:rPr>
              <w:t>7</w:t>
            </w:r>
            <w:r>
              <w:rPr>
                <w:rFonts w:hint="eastAsia"/>
                <w:caps/>
                <w:color w:val="000000" w:themeColor="text1"/>
                <w:sz w:val="20"/>
                <w:szCs w:val="20"/>
                <w14:textFill>
                  <w14:solidFill>
                    <w14:schemeClr w14:val="tx1"/>
                  </w14:solidFill>
                </w14:textFill>
              </w:rPr>
              <w:t>月</w:t>
            </w:r>
            <w:r>
              <w:rPr>
                <w:caps/>
                <w:color w:val="000000" w:themeColor="text1"/>
                <w:sz w:val="20"/>
                <w:szCs w:val="20"/>
                <w14:textFill>
                  <w14:solidFill>
                    <w14:schemeClr w14:val="tx1"/>
                  </w14:solidFill>
                </w14:textFill>
              </w:rPr>
              <w:t>10</w:t>
            </w:r>
            <w:r>
              <w:rPr>
                <w:rFonts w:hint="eastAsia"/>
                <w:caps/>
                <w:color w:val="000000" w:themeColor="text1"/>
                <w:sz w:val="20"/>
                <w:szCs w:val="20"/>
                <w14:textFill>
                  <w14:solidFill>
                    <w14:schemeClr w14:val="tx1"/>
                  </w14:solidFill>
                </w14:textFill>
              </w:rPr>
              <w:t>日林某收到复议决定书。请问：</w:t>
            </w:r>
          </w:p>
          <w:p>
            <w:pPr>
              <w:snapToGrid w:val="0"/>
              <w:spacing w:line="340" w:lineRule="exact"/>
              <w:rPr>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w:t>
            </w:r>
            <w:r>
              <w:rPr>
                <w:caps/>
                <w:color w:val="000000" w:themeColor="text1"/>
                <w:sz w:val="20"/>
                <w:szCs w:val="20"/>
                <w14:textFill>
                  <w14:solidFill>
                    <w14:schemeClr w14:val="tx1"/>
                  </w14:solidFill>
                </w14:textFill>
              </w:rPr>
              <w:t>1</w:t>
            </w:r>
            <w:r>
              <w:rPr>
                <w:rFonts w:hint="eastAsia"/>
                <w:caps/>
                <w:color w:val="000000" w:themeColor="text1"/>
                <w:sz w:val="20"/>
                <w:szCs w:val="20"/>
                <w14:textFill>
                  <w14:solidFill>
                    <w14:schemeClr w14:val="tx1"/>
                  </w14:solidFill>
                </w14:textFill>
              </w:rPr>
              <w:t>）甲不服行政复议决定，是否还能向法院提起诉讼？为什么？</w:t>
            </w:r>
          </w:p>
          <w:p>
            <w:pPr>
              <w:snapToGrid w:val="0"/>
              <w:spacing w:line="340" w:lineRule="exact"/>
              <w:rPr>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w:t>
            </w:r>
            <w:r>
              <w:rPr>
                <w:caps/>
                <w:color w:val="000000" w:themeColor="text1"/>
                <w:sz w:val="20"/>
                <w:szCs w:val="20"/>
                <w14:textFill>
                  <w14:solidFill>
                    <w14:schemeClr w14:val="tx1"/>
                  </w14:solidFill>
                </w14:textFill>
              </w:rPr>
              <w:t>2</w:t>
            </w:r>
            <w:r>
              <w:rPr>
                <w:rFonts w:hint="eastAsia"/>
                <w:caps/>
                <w:color w:val="000000" w:themeColor="text1"/>
                <w:sz w:val="20"/>
                <w:szCs w:val="20"/>
                <w14:textFill>
                  <w14:solidFill>
                    <w14:schemeClr w14:val="tx1"/>
                  </w14:solidFill>
                </w14:textFill>
              </w:rPr>
              <w:t>）甲最迟应在何时向法院起诉？请说明理由。</w:t>
            </w:r>
          </w:p>
          <w:p>
            <w:pPr>
              <w:snapToGrid w:val="0"/>
              <w:spacing w:line="340" w:lineRule="exact"/>
              <w:rPr>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w:t>
            </w:r>
            <w:r>
              <w:rPr>
                <w:caps/>
                <w:color w:val="000000" w:themeColor="text1"/>
                <w:sz w:val="20"/>
                <w:szCs w:val="20"/>
                <w14:textFill>
                  <w14:solidFill>
                    <w14:schemeClr w14:val="tx1"/>
                  </w14:solidFill>
                </w14:textFill>
              </w:rPr>
              <w:t>3</w:t>
            </w:r>
            <w:r>
              <w:rPr>
                <w:rFonts w:hint="eastAsia"/>
                <w:caps/>
                <w:color w:val="000000" w:themeColor="text1"/>
                <w:sz w:val="20"/>
                <w:szCs w:val="20"/>
                <w14:textFill>
                  <w14:solidFill>
                    <w14:schemeClr w14:val="tx1"/>
                  </w14:solidFill>
                </w14:textFill>
              </w:rPr>
              <w:t>）甲不服行政复议决定，应当以谁为被告？请说明理由。</w:t>
            </w:r>
          </w:p>
        </w:tc>
        <w:tc>
          <w:tcPr>
            <w:tcW w:w="3969" w:type="dxa"/>
          </w:tcPr>
          <w:p>
            <w:pPr>
              <w:spacing w:line="340" w:lineRule="exact"/>
              <w:jc w:val="left"/>
              <w:rPr>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w:t>
            </w:r>
            <w:r>
              <w:rPr>
                <w:caps/>
                <w:color w:val="000000" w:themeColor="text1"/>
                <w:sz w:val="20"/>
                <w:szCs w:val="20"/>
                <w14:textFill>
                  <w14:solidFill>
                    <w14:schemeClr w14:val="tx1"/>
                  </w14:solidFill>
                </w14:textFill>
              </w:rPr>
              <w:t>1</w:t>
            </w:r>
            <w:r>
              <w:rPr>
                <w:rFonts w:hint="eastAsia"/>
                <w:caps/>
                <w:color w:val="000000" w:themeColor="text1"/>
                <w:sz w:val="20"/>
                <w:szCs w:val="20"/>
                <w14:textFill>
                  <w14:solidFill>
                    <w14:schemeClr w14:val="tx1"/>
                  </w14:solidFill>
                </w14:textFill>
              </w:rPr>
              <w:t>）可以。根据《行政诉讼法》第</w:t>
            </w:r>
            <w:r>
              <w:rPr>
                <w:caps/>
                <w:color w:val="000000" w:themeColor="text1"/>
                <w:sz w:val="20"/>
                <w:szCs w:val="20"/>
                <w14:textFill>
                  <w14:solidFill>
                    <w14:schemeClr w14:val="tx1"/>
                  </w14:solidFill>
                </w14:textFill>
              </w:rPr>
              <w:t>44</w:t>
            </w:r>
            <w:r>
              <w:rPr>
                <w:rFonts w:hint="eastAsia"/>
                <w:caps/>
                <w:color w:val="000000" w:themeColor="text1"/>
                <w:sz w:val="20"/>
                <w:szCs w:val="20"/>
                <w14:textFill>
                  <w14:solidFill>
                    <w14:schemeClr w14:val="tx1"/>
                  </w14:solidFill>
                </w14:textFill>
              </w:rPr>
              <w:t>条的规定，对属于人民法院受案范围的行政案件，公民、法人或者其他组织可以先向行政机关申请复议，对复议决定不服的，再向人民法院提起诉讼。</w:t>
            </w:r>
          </w:p>
          <w:p>
            <w:pPr>
              <w:pStyle w:val="5"/>
              <w:widowControl/>
              <w:spacing w:before="0" w:beforeAutospacing="0" w:after="0" w:afterAutospacing="0" w:line="20" w:lineRule="atLeast"/>
              <w:jc w:val="both"/>
              <w:rPr>
                <w:rFonts w:ascii="Times New Roman" w:hAnsi="Times New Roman"/>
                <w:caps/>
                <w:color w:val="000000" w:themeColor="text1"/>
                <w:kern w:val="2"/>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w:t>
            </w:r>
            <w:r>
              <w:rPr>
                <w:rFonts w:ascii="Times New Roman" w:hAnsi="Times New Roman"/>
                <w:caps/>
                <w:color w:val="000000" w:themeColor="text1"/>
                <w:kern w:val="2"/>
                <w:sz w:val="20"/>
                <w:szCs w:val="20"/>
                <w14:textFill>
                  <w14:solidFill>
                    <w14:schemeClr w14:val="tx1"/>
                  </w14:solidFill>
                </w14:textFill>
              </w:rPr>
              <w:t>2</w:t>
            </w:r>
            <w:r>
              <w:rPr>
                <w:rFonts w:hint="eastAsia" w:ascii="Times New Roman" w:hAnsi="Times New Roman"/>
                <w:caps/>
                <w:color w:val="000000" w:themeColor="text1"/>
                <w:kern w:val="2"/>
                <w:sz w:val="20"/>
                <w:szCs w:val="20"/>
                <w14:textFill>
                  <w14:solidFill>
                    <w14:schemeClr w14:val="tx1"/>
                  </w14:solidFill>
                </w14:textFill>
              </w:rPr>
              <w:t>）甲最迟应在</w:t>
            </w:r>
            <w:r>
              <w:rPr>
                <w:rFonts w:ascii="Times New Roman" w:hAnsi="Times New Roman"/>
                <w:caps/>
                <w:color w:val="000000" w:themeColor="text1"/>
                <w:kern w:val="2"/>
                <w:sz w:val="20"/>
                <w:szCs w:val="20"/>
                <w14:textFill>
                  <w14:solidFill>
                    <w14:schemeClr w14:val="tx1"/>
                  </w14:solidFill>
                </w14:textFill>
              </w:rPr>
              <w:t>2017</w:t>
            </w:r>
            <w:r>
              <w:rPr>
                <w:rFonts w:hint="eastAsia" w:ascii="Times New Roman" w:hAnsi="Times New Roman"/>
                <w:caps/>
                <w:color w:val="000000" w:themeColor="text1"/>
                <w:kern w:val="2"/>
                <w:sz w:val="20"/>
                <w:szCs w:val="20"/>
                <w14:textFill>
                  <w14:solidFill>
                    <w14:schemeClr w14:val="tx1"/>
                  </w14:solidFill>
                </w14:textFill>
              </w:rPr>
              <w:t>年</w:t>
            </w:r>
            <w:r>
              <w:rPr>
                <w:rFonts w:ascii="Times New Roman" w:hAnsi="Times New Roman"/>
                <w:caps/>
                <w:color w:val="000000" w:themeColor="text1"/>
                <w:kern w:val="2"/>
                <w:sz w:val="20"/>
                <w:szCs w:val="20"/>
                <w14:textFill>
                  <w14:solidFill>
                    <w14:schemeClr w14:val="tx1"/>
                  </w14:solidFill>
                </w14:textFill>
              </w:rPr>
              <w:t>7</w:t>
            </w:r>
            <w:r>
              <w:rPr>
                <w:rFonts w:hint="eastAsia" w:ascii="Times New Roman" w:hAnsi="Times New Roman"/>
                <w:caps/>
                <w:color w:val="000000" w:themeColor="text1"/>
                <w:kern w:val="2"/>
                <w:sz w:val="20"/>
                <w:szCs w:val="20"/>
                <w14:textFill>
                  <w14:solidFill>
                    <w14:schemeClr w14:val="tx1"/>
                  </w14:solidFill>
                </w14:textFill>
              </w:rPr>
              <w:t>月</w:t>
            </w:r>
            <w:r>
              <w:rPr>
                <w:rFonts w:ascii="Times New Roman" w:hAnsi="Times New Roman"/>
                <w:caps/>
                <w:color w:val="000000" w:themeColor="text1"/>
                <w:kern w:val="2"/>
                <w:sz w:val="20"/>
                <w:szCs w:val="20"/>
                <w14:textFill>
                  <w14:solidFill>
                    <w14:schemeClr w14:val="tx1"/>
                  </w14:solidFill>
                </w14:textFill>
              </w:rPr>
              <w:t>25</w:t>
            </w:r>
            <w:r>
              <w:rPr>
                <w:rFonts w:hint="eastAsia" w:ascii="Times New Roman" w:hAnsi="Times New Roman"/>
                <w:caps/>
                <w:color w:val="000000" w:themeColor="text1"/>
                <w:kern w:val="2"/>
                <w:sz w:val="20"/>
                <w:szCs w:val="20"/>
                <w14:textFill>
                  <w14:solidFill>
                    <w14:schemeClr w14:val="tx1"/>
                  </w14:solidFill>
                </w14:textFill>
              </w:rPr>
              <w:t>日向法院起诉。根据《行政诉讼法》第</w:t>
            </w:r>
            <w:r>
              <w:rPr>
                <w:rFonts w:ascii="Times New Roman" w:hAnsi="Times New Roman"/>
                <w:caps/>
                <w:color w:val="000000" w:themeColor="text1"/>
                <w:kern w:val="2"/>
                <w:sz w:val="20"/>
                <w:szCs w:val="20"/>
                <w14:textFill>
                  <w14:solidFill>
                    <w14:schemeClr w14:val="tx1"/>
                  </w14:solidFill>
                </w14:textFill>
              </w:rPr>
              <w:t>45</w:t>
            </w:r>
            <w:r>
              <w:rPr>
                <w:rFonts w:hint="eastAsia" w:ascii="Times New Roman" w:hAnsi="Times New Roman"/>
                <w:caps/>
                <w:color w:val="000000" w:themeColor="text1"/>
                <w:kern w:val="2"/>
                <w:sz w:val="20"/>
                <w:szCs w:val="20"/>
                <w14:textFill>
                  <w14:solidFill>
                    <w14:schemeClr w14:val="tx1"/>
                  </w14:solidFill>
                </w14:textFill>
              </w:rPr>
              <w:t>条的规定，除法律另有规定外，公民、法人或者其他组织不服行政复议决定的，向法院提起诉讼的起诉期限为收到复议决定书之日起</w:t>
            </w:r>
            <w:r>
              <w:rPr>
                <w:rFonts w:ascii="Times New Roman" w:hAnsi="Times New Roman"/>
                <w:caps/>
                <w:color w:val="000000" w:themeColor="text1"/>
                <w:kern w:val="2"/>
                <w:sz w:val="20"/>
                <w:szCs w:val="20"/>
                <w14:textFill>
                  <w14:solidFill>
                    <w14:schemeClr w14:val="tx1"/>
                  </w14:solidFill>
                </w14:textFill>
              </w:rPr>
              <w:t>15</w:t>
            </w:r>
            <w:r>
              <w:rPr>
                <w:rFonts w:hint="eastAsia" w:ascii="Times New Roman" w:hAnsi="Times New Roman"/>
                <w:caps/>
                <w:color w:val="000000" w:themeColor="text1"/>
                <w:kern w:val="2"/>
                <w:sz w:val="20"/>
                <w:szCs w:val="20"/>
                <w14:textFill>
                  <w14:solidFill>
                    <w14:schemeClr w14:val="tx1"/>
                  </w14:solidFill>
                </w14:textFill>
              </w:rPr>
              <w:t>日内。</w:t>
            </w:r>
          </w:p>
          <w:p>
            <w:pPr>
              <w:spacing w:line="340" w:lineRule="exact"/>
              <w:jc w:val="left"/>
              <w:rPr>
                <w:rFonts w:ascii="宋体"/>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w:t>
            </w:r>
            <w:r>
              <w:rPr>
                <w:caps/>
                <w:color w:val="000000" w:themeColor="text1"/>
                <w:sz w:val="20"/>
                <w:szCs w:val="20"/>
                <w14:textFill>
                  <w14:solidFill>
                    <w14:schemeClr w14:val="tx1"/>
                  </w14:solidFill>
                </w14:textFill>
              </w:rPr>
              <w:t>3</w:t>
            </w:r>
            <w:r>
              <w:rPr>
                <w:rFonts w:hint="eastAsia"/>
                <w:caps/>
                <w:color w:val="000000" w:themeColor="text1"/>
                <w:sz w:val="20"/>
                <w:szCs w:val="20"/>
                <w14:textFill>
                  <w14:solidFill>
                    <w14:schemeClr w14:val="tx1"/>
                  </w14:solidFill>
                </w14:textFill>
              </w:rPr>
              <w:t>）应当以</w:t>
            </w:r>
            <w:r>
              <w:rPr>
                <w:caps/>
                <w:color w:val="000000" w:themeColor="text1"/>
                <w:sz w:val="20"/>
                <w:szCs w:val="20"/>
                <w14:textFill>
                  <w14:solidFill>
                    <w14:schemeClr w14:val="tx1"/>
                  </w14:solidFill>
                </w14:textFill>
              </w:rPr>
              <w:t>Y</w:t>
            </w:r>
            <w:r>
              <w:rPr>
                <w:rFonts w:hint="eastAsia"/>
                <w:caps/>
                <w:color w:val="000000" w:themeColor="text1"/>
                <w:sz w:val="20"/>
                <w:szCs w:val="20"/>
                <w14:textFill>
                  <w14:solidFill>
                    <w14:schemeClr w14:val="tx1"/>
                  </w14:solidFill>
                </w14:textFill>
              </w:rPr>
              <w:t>市公安局为被告。《行政诉讼法》第</w:t>
            </w:r>
            <w:r>
              <w:rPr>
                <w:caps/>
                <w:color w:val="000000" w:themeColor="text1"/>
                <w:sz w:val="20"/>
                <w:szCs w:val="20"/>
                <w14:textFill>
                  <w14:solidFill>
                    <w14:schemeClr w14:val="tx1"/>
                  </w14:solidFill>
                </w14:textFill>
              </w:rPr>
              <w:t>26</w:t>
            </w:r>
            <w:r>
              <w:rPr>
                <w:rFonts w:hint="eastAsia"/>
                <w:caps/>
                <w:color w:val="000000" w:themeColor="text1"/>
                <w:sz w:val="20"/>
                <w:szCs w:val="20"/>
                <w14:textFill>
                  <w14:solidFill>
                    <w14:schemeClr w14:val="tx1"/>
                  </w14:solidFill>
                </w14:textFill>
              </w:rPr>
              <w:t>条明确规定，经复议的案件，复议机关改变原行政行为的，复议机关是被告。</w:t>
            </w:r>
          </w:p>
        </w:tc>
      </w:tr>
    </w:tbl>
    <w:p>
      <w:pPr>
        <w:rPr>
          <w:rFonts w:ascii="宋体"/>
          <w:color w:val="000000" w:themeColor="text1"/>
          <w:szCs w:val="21"/>
          <w14:textFill>
            <w14:solidFill>
              <w14:schemeClr w14:val="tx1"/>
            </w14:solidFill>
          </w14:textFill>
        </w:rPr>
      </w:pPr>
    </w:p>
    <w:p>
      <w:pP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七、论述题</w:t>
      </w:r>
    </w:p>
    <w:tbl>
      <w:tblPr>
        <w:tblStyle w:val="7"/>
        <w:tblpPr w:leftFromText="180" w:rightFromText="180" w:vertAnchor="text" w:tblpY="1"/>
        <w:tblOverlap w:val="never"/>
        <w:tblW w:w="86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85"/>
        <w:gridCol w:w="4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5" w:type="dxa"/>
          </w:tcPr>
          <w:p>
            <w:pPr>
              <w:snapToGrid w:val="0"/>
              <w:spacing w:line="340" w:lineRule="exact"/>
              <w:jc w:val="center"/>
              <w:rPr>
                <w:b/>
                <w:caps/>
                <w:color w:val="000000" w:themeColor="text1"/>
                <w:sz w:val="20"/>
                <w:szCs w:val="20"/>
                <w14:textFill>
                  <w14:solidFill>
                    <w14:schemeClr w14:val="tx1"/>
                  </w14:solidFill>
                </w14:textFill>
              </w:rPr>
            </w:pPr>
            <w:r>
              <w:rPr>
                <w:rFonts w:hint="eastAsia"/>
                <w:b/>
                <w:caps/>
                <w:color w:val="000000" w:themeColor="text1"/>
                <w:sz w:val="20"/>
                <w:szCs w:val="20"/>
                <w14:textFill>
                  <w14:solidFill>
                    <w14:schemeClr w14:val="tx1"/>
                  </w14:solidFill>
                </w14:textFill>
              </w:rPr>
              <w:t>论述题</w:t>
            </w:r>
          </w:p>
        </w:tc>
        <w:tc>
          <w:tcPr>
            <w:tcW w:w="4962" w:type="dxa"/>
          </w:tcPr>
          <w:p>
            <w:pPr>
              <w:snapToGrid w:val="0"/>
              <w:spacing w:line="340" w:lineRule="exact"/>
              <w:jc w:val="center"/>
              <w:rPr>
                <w:b/>
                <w:caps/>
                <w:color w:val="000000" w:themeColor="text1"/>
                <w:sz w:val="20"/>
                <w:szCs w:val="20"/>
                <w14:textFill>
                  <w14:solidFill>
                    <w14:schemeClr w14:val="tx1"/>
                  </w14:solidFill>
                </w14:textFill>
              </w:rPr>
            </w:pPr>
            <w:r>
              <w:rPr>
                <w:rFonts w:hint="eastAsia"/>
                <w:b/>
                <w:caps/>
                <w:color w:val="000000" w:themeColor="text1"/>
                <w:sz w:val="20"/>
                <w:szCs w:val="20"/>
                <w14:textFill>
                  <w14:solidFill>
                    <w14:schemeClr w14:val="tx1"/>
                  </w14:solidFill>
                </w14:textFill>
              </w:rPr>
              <w:t>参考答案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5" w:type="dxa"/>
            <w:vAlign w:val="center"/>
          </w:tcPr>
          <w:p>
            <w:pPr>
              <w:rPr>
                <w:color w:val="000000" w:themeColor="text1"/>
                <w:sz w:val="20"/>
                <w:szCs w:val="20"/>
                <w14:textFill>
                  <w14:solidFill>
                    <w14:schemeClr w14:val="tx1"/>
                  </w14:solidFill>
                </w14:textFill>
              </w:rPr>
            </w:pPr>
            <w:r>
              <w:rPr>
                <w:rFonts w:hint="eastAsia"/>
                <w:color w:val="000000" w:themeColor="text1"/>
                <w:sz w:val="20"/>
                <w:szCs w:val="20"/>
                <w14:textFill>
                  <w14:solidFill>
                    <w14:schemeClr w14:val="tx1"/>
                  </w14:solidFill>
                </w14:textFill>
              </w:rPr>
              <w:t>试论程序正当原则的含义及其具体内容。</w:t>
            </w:r>
          </w:p>
        </w:tc>
        <w:tc>
          <w:tcPr>
            <w:tcW w:w="4962" w:type="dxa"/>
            <w:vAlign w:val="center"/>
          </w:tcPr>
          <w:p>
            <w:pPr>
              <w:snapToGrid w:val="0"/>
              <w:spacing w:line="340" w:lineRule="exact"/>
              <w:ind w:firstLine="400" w:firstLineChars="200"/>
              <w:rPr>
                <w:rFonts w:ascii="宋体" w:hAnsi="宋体"/>
                <w:caps/>
                <w:color w:val="000000" w:themeColor="text1"/>
                <w:sz w:val="20"/>
                <w:szCs w:val="20"/>
                <w14:textFill>
                  <w14:solidFill>
                    <w14:schemeClr w14:val="tx1"/>
                  </w14:solidFill>
                </w14:textFill>
              </w:rPr>
            </w:pPr>
            <w:r>
              <w:rPr>
                <w:rFonts w:hint="eastAsia" w:ascii="宋体" w:hAnsi="宋体"/>
                <w:caps/>
                <w:color w:val="000000" w:themeColor="text1"/>
                <w:sz w:val="20"/>
                <w:szCs w:val="20"/>
                <w14:textFill>
                  <w14:solidFill>
                    <w14:schemeClr w14:val="tx1"/>
                  </w14:solidFill>
                </w14:textFill>
              </w:rPr>
              <w:t>程序正当原则是指政府从事行政活动必须遵循正当法律程序。正当程序不仅是实体正义的工具，在许多情况下，只有通过正当程序才能求得正当的实体结果。</w:t>
            </w:r>
          </w:p>
          <w:p>
            <w:pPr>
              <w:snapToGrid w:val="0"/>
              <w:spacing w:line="340" w:lineRule="exact"/>
              <w:ind w:firstLine="400" w:firstLineChars="200"/>
              <w:rPr>
                <w:rFonts w:ascii="宋体" w:hAnsi="宋体"/>
                <w:caps/>
                <w:color w:val="000000" w:themeColor="text1"/>
                <w:sz w:val="20"/>
                <w:szCs w:val="20"/>
                <w14:textFill>
                  <w14:solidFill>
                    <w14:schemeClr w14:val="tx1"/>
                  </w14:solidFill>
                </w14:textFill>
              </w:rPr>
            </w:pPr>
            <w:r>
              <w:rPr>
                <w:rFonts w:hint="eastAsia" w:ascii="宋体" w:hAnsi="宋体"/>
                <w:caps/>
                <w:color w:val="000000" w:themeColor="text1"/>
                <w:sz w:val="20"/>
                <w:szCs w:val="20"/>
                <w14:textFill>
                  <w14:solidFill>
                    <w14:schemeClr w14:val="tx1"/>
                  </w14:solidFill>
                </w14:textFill>
              </w:rPr>
              <w:t>作为行政法的基本原则，程序正当原则主要体现在以下三个方面：</w:t>
            </w:r>
          </w:p>
          <w:p>
            <w:pPr>
              <w:snapToGrid w:val="0"/>
              <w:spacing w:line="340" w:lineRule="exact"/>
              <w:rPr>
                <w:rFonts w:ascii="宋体" w:hAnsi="宋体"/>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（1）</w:t>
            </w:r>
            <w:r>
              <w:rPr>
                <w:rFonts w:hint="eastAsia" w:ascii="宋体" w:hAnsi="宋体"/>
                <w:caps/>
                <w:color w:val="000000" w:themeColor="text1"/>
                <w:sz w:val="20"/>
                <w:szCs w:val="20"/>
                <w14:textFill>
                  <w14:solidFill>
                    <w14:schemeClr w14:val="tx1"/>
                  </w14:solidFill>
                </w14:textFill>
              </w:rPr>
              <w:t>行政公开，即除涉及国家秘密和依法受到保护的商业秘密、个人隐私外，行政管理活动应当公开，以保障公民的知情权。</w:t>
            </w:r>
          </w:p>
          <w:p>
            <w:pPr>
              <w:snapToGrid w:val="0"/>
              <w:spacing w:line="340" w:lineRule="exact"/>
              <w:rPr>
                <w:rFonts w:ascii="宋体" w:hAnsi="宋体"/>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（2）</w:t>
            </w:r>
            <w:r>
              <w:rPr>
                <w:rFonts w:hint="eastAsia" w:ascii="宋体" w:hAnsi="宋体"/>
                <w:caps/>
                <w:color w:val="000000" w:themeColor="text1"/>
                <w:sz w:val="20"/>
                <w:szCs w:val="20"/>
                <w14:textFill>
                  <w14:solidFill>
                    <w14:schemeClr w14:val="tx1"/>
                  </w14:solidFill>
                </w14:textFill>
              </w:rPr>
              <w:t>公众参与，即行政主体在作出重要规定或决定时，应当听取公众意见。特别是应当听取相对人与其他利害关系人的陈述或申辩，提出的陈述或申辩成立的，行政主体应当予以考虑和采纳。</w:t>
            </w:r>
          </w:p>
          <w:p>
            <w:pPr>
              <w:snapToGrid w:val="0"/>
              <w:spacing w:line="340" w:lineRule="exact"/>
              <w:rPr>
                <w:rFonts w:ascii="宋体"/>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（3）</w:t>
            </w:r>
            <w:r>
              <w:rPr>
                <w:rFonts w:hint="eastAsia" w:ascii="宋体" w:hAnsi="宋体"/>
                <w:caps/>
                <w:color w:val="000000" w:themeColor="text1"/>
                <w:sz w:val="20"/>
                <w:szCs w:val="20"/>
                <w14:textFill>
                  <w14:solidFill>
                    <w14:schemeClr w14:val="tx1"/>
                  </w14:solidFill>
                </w14:textFill>
              </w:rPr>
              <w:t>程序公正，包括行政主体的工作人员不得处理与自己有利害关系的行政案件；行政主体在作出处理决定前，不得在一方当事人不在场的情况下与另一方当事人单方面接触。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5" w:type="dxa"/>
          </w:tcPr>
          <w:p>
            <w:pPr>
              <w:snapToGrid w:val="0"/>
              <w:spacing w:line="340" w:lineRule="exact"/>
              <w:rPr>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论述行政合法性原则的含义及其具体内容。</w:t>
            </w:r>
          </w:p>
        </w:tc>
        <w:tc>
          <w:tcPr>
            <w:tcW w:w="4962" w:type="dxa"/>
          </w:tcPr>
          <w:p>
            <w:pPr>
              <w:snapToGrid w:val="0"/>
              <w:spacing w:line="340" w:lineRule="exact"/>
              <w:ind w:firstLine="400" w:firstLineChars="200"/>
              <w:rPr>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行政合法性原则的含义是</w:t>
            </w:r>
            <w:r>
              <w:rPr>
                <w:caps/>
                <w:color w:val="000000" w:themeColor="text1"/>
                <w:sz w:val="20"/>
                <w:szCs w:val="20"/>
                <w14:textFill>
                  <w14:solidFill>
                    <w14:schemeClr w14:val="tx1"/>
                  </w14:solidFill>
                </w14:textFill>
              </w:rPr>
              <w:t>………</w:t>
            </w:r>
          </w:p>
          <w:p>
            <w:pPr>
              <w:snapToGrid w:val="0"/>
              <w:spacing w:line="340" w:lineRule="exact"/>
              <w:ind w:firstLine="400" w:firstLineChars="200"/>
              <w:rPr>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这一原则包括以下两个方面的内容：</w:t>
            </w:r>
          </w:p>
          <w:p>
            <w:pPr>
              <w:snapToGrid w:val="0"/>
              <w:spacing w:line="340" w:lineRule="exact"/>
              <w:ind w:firstLine="400" w:firstLineChars="200"/>
              <w:rPr>
                <w:caps/>
                <w:color w:val="000000" w:themeColor="text1"/>
                <w:sz w:val="20"/>
                <w:szCs w:val="20"/>
                <w14:textFill>
                  <w14:solidFill>
                    <w14:schemeClr w14:val="tx1"/>
                  </w14:solidFill>
                </w14:textFill>
              </w:rPr>
            </w:pPr>
            <w:r>
              <w:rPr>
                <w:caps/>
                <w:color w:val="000000" w:themeColor="text1"/>
                <w:sz w:val="20"/>
                <w:szCs w:val="20"/>
                <w14:textFill>
                  <w14:solidFill>
                    <w14:schemeClr w14:val="tx1"/>
                  </w14:solidFill>
                </w14:textFill>
              </w:rPr>
              <w:t>1</w:t>
            </w:r>
            <w:r>
              <w:rPr>
                <w:rFonts w:hint="eastAsia"/>
                <w:caps/>
                <w:color w:val="000000" w:themeColor="text1"/>
                <w:sz w:val="20"/>
                <w:szCs w:val="20"/>
                <w14:textFill>
                  <w14:solidFill>
                    <w14:schemeClr w14:val="tx1"/>
                  </w14:solidFill>
                </w14:textFill>
              </w:rPr>
              <w:t>、法律优先</w:t>
            </w:r>
          </w:p>
          <w:p>
            <w:pPr>
              <w:snapToGrid w:val="0"/>
              <w:spacing w:line="340" w:lineRule="exact"/>
              <w:ind w:firstLine="400" w:firstLineChars="200"/>
              <w:rPr>
                <w:caps/>
                <w:color w:val="000000" w:themeColor="text1"/>
                <w:sz w:val="20"/>
                <w:szCs w:val="20"/>
                <w14:textFill>
                  <w14:solidFill>
                    <w14:schemeClr w14:val="tx1"/>
                  </w14:solidFill>
                </w14:textFill>
              </w:rPr>
            </w:pPr>
            <w:r>
              <w:rPr>
                <w:caps/>
                <w:color w:val="000000" w:themeColor="text1"/>
                <w:sz w:val="20"/>
                <w:szCs w:val="20"/>
                <w14:textFill>
                  <w14:solidFill>
                    <w14:schemeClr w14:val="tx1"/>
                  </w14:solidFill>
                </w14:textFill>
              </w:rPr>
              <w:t>2</w:t>
            </w:r>
            <w:r>
              <w:rPr>
                <w:rFonts w:hint="eastAsia"/>
                <w:caps/>
                <w:color w:val="000000" w:themeColor="text1"/>
                <w:sz w:val="20"/>
                <w:szCs w:val="20"/>
                <w14:textFill>
                  <w14:solidFill>
                    <w14:schemeClr w14:val="tx1"/>
                  </w14:solidFill>
                </w14:textFill>
              </w:rPr>
              <w:t>、法律保留</w:t>
            </w:r>
          </w:p>
          <w:p>
            <w:pPr>
              <w:rPr>
                <w:rFonts w:ascii="宋体"/>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总之，行政合法性原则是对行政活动的整体性要求。要求行政行为必须在下列环节符合法律规定，具体而言：</w:t>
            </w:r>
            <w:r>
              <w:rPr>
                <w:caps/>
                <w:color w:val="000000" w:themeColor="text1"/>
                <w:sz w:val="20"/>
                <w:szCs w:val="20"/>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5" w:type="dxa"/>
          </w:tcPr>
          <w:p>
            <w:pPr>
              <w:tabs>
                <w:tab w:val="left" w:pos="3741"/>
              </w:tabs>
              <w:snapToGrid w:val="0"/>
              <w:spacing w:line="340" w:lineRule="exact"/>
              <w:rPr>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论述行政合理性原则的含义及其具体内容。</w:t>
            </w:r>
          </w:p>
        </w:tc>
        <w:tc>
          <w:tcPr>
            <w:tcW w:w="4962" w:type="dxa"/>
          </w:tcPr>
          <w:p>
            <w:pPr>
              <w:snapToGrid w:val="0"/>
              <w:spacing w:line="340" w:lineRule="exact"/>
              <w:ind w:firstLine="400" w:firstLineChars="200"/>
              <w:rPr>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行政合理性原则，是指所有的行政活动（尤其是根据自由裁量权作出的活动）都应当是合乎理性的。</w:t>
            </w:r>
          </w:p>
          <w:p>
            <w:pPr>
              <w:snapToGrid w:val="0"/>
              <w:spacing w:line="340" w:lineRule="exact"/>
              <w:ind w:firstLine="400" w:firstLineChars="200"/>
              <w:rPr>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行政合理性原则是合法性原则的延伸，是对行政行为正当性提出的要求，属于实质法治的范畴。简言之，行政主体不仅应当按照法律规范所规定的条件、种类、幅度和范围来实施行政行为，同时行政行为的内容应当符合立法精神、符合公平正义等法律理性。</w:t>
            </w:r>
          </w:p>
          <w:p>
            <w:pPr>
              <w:snapToGrid w:val="0"/>
              <w:spacing w:line="340" w:lineRule="exact"/>
              <w:ind w:firstLine="400" w:firstLineChars="200"/>
              <w:rPr>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行政合理性原则的具体要求，可以概括为以下三个方面：</w:t>
            </w:r>
          </w:p>
          <w:p>
            <w:pPr>
              <w:snapToGrid w:val="0"/>
              <w:spacing w:line="340" w:lineRule="exact"/>
              <w:ind w:firstLine="400" w:firstLineChars="200"/>
              <w:rPr>
                <w:caps/>
                <w:color w:val="000000" w:themeColor="text1"/>
                <w:sz w:val="20"/>
                <w:szCs w:val="20"/>
                <w14:textFill>
                  <w14:solidFill>
                    <w14:schemeClr w14:val="tx1"/>
                  </w14:solidFill>
                </w14:textFill>
              </w:rPr>
            </w:pPr>
            <w:r>
              <w:rPr>
                <w:caps/>
                <w:color w:val="000000" w:themeColor="text1"/>
                <w:sz w:val="20"/>
                <w:szCs w:val="20"/>
                <w14:textFill>
                  <w14:solidFill>
                    <w14:schemeClr w14:val="tx1"/>
                  </w14:solidFill>
                </w14:textFill>
              </w:rPr>
              <w:t>1</w:t>
            </w:r>
            <w:r>
              <w:rPr>
                <w:rFonts w:hint="eastAsia"/>
                <w:caps/>
                <w:color w:val="000000" w:themeColor="text1"/>
                <w:sz w:val="20"/>
                <w:szCs w:val="20"/>
                <w14:textFill>
                  <w14:solidFill>
                    <w14:schemeClr w14:val="tx1"/>
                  </w14:solidFill>
                </w14:textFill>
              </w:rPr>
              <w:t>、行政合理性原则要求行政机关必须公平、公正地对待当事人。这是宪法所规定的“法律面前人人平等”在行政法领域的具体表现，即要做到“相同案件相同处理，不同案件不同处理”，行政机关在处理类似案件的时候不能畸轻畸重，不能对当事人进行不合理的区别对待。</w:t>
            </w:r>
          </w:p>
          <w:p>
            <w:pPr>
              <w:snapToGrid w:val="0"/>
              <w:spacing w:line="340" w:lineRule="exact"/>
              <w:ind w:firstLine="400" w:firstLineChars="200"/>
              <w:rPr>
                <w:caps/>
                <w:color w:val="000000" w:themeColor="text1"/>
                <w:sz w:val="20"/>
                <w:szCs w:val="20"/>
                <w14:textFill>
                  <w14:solidFill>
                    <w14:schemeClr w14:val="tx1"/>
                  </w14:solidFill>
                </w14:textFill>
              </w:rPr>
            </w:pPr>
            <w:r>
              <w:rPr>
                <w:caps/>
                <w:color w:val="000000" w:themeColor="text1"/>
                <w:sz w:val="20"/>
                <w:szCs w:val="20"/>
                <w14:textFill>
                  <w14:solidFill>
                    <w14:schemeClr w14:val="tx1"/>
                  </w14:solidFill>
                </w14:textFill>
              </w:rPr>
              <w:t>2</w:t>
            </w:r>
            <w:r>
              <w:rPr>
                <w:rFonts w:hint="eastAsia"/>
                <w:caps/>
                <w:color w:val="000000" w:themeColor="text1"/>
                <w:sz w:val="20"/>
                <w:szCs w:val="20"/>
                <w14:textFill>
                  <w14:solidFill>
                    <w14:schemeClr w14:val="tx1"/>
                  </w14:solidFill>
                </w14:textFill>
              </w:rPr>
              <w:t>、行政合理性原则要求行政机关在作出行政行为时必须只考虑相关因素，排除无关因素。</w:t>
            </w:r>
          </w:p>
          <w:p>
            <w:pPr>
              <w:spacing w:line="340" w:lineRule="exact"/>
              <w:jc w:val="left"/>
              <w:rPr>
                <w:rFonts w:ascii="宋体"/>
                <w:caps/>
                <w:color w:val="000000" w:themeColor="text1"/>
                <w:sz w:val="20"/>
                <w:szCs w:val="20"/>
                <w14:textFill>
                  <w14:solidFill>
                    <w14:schemeClr w14:val="tx1"/>
                  </w14:solidFill>
                </w14:textFill>
              </w:rPr>
            </w:pPr>
            <w:r>
              <w:rPr>
                <w:caps/>
                <w:color w:val="000000" w:themeColor="text1"/>
                <w:sz w:val="20"/>
                <w:szCs w:val="20"/>
                <w14:textFill>
                  <w14:solidFill>
                    <w14:schemeClr w14:val="tx1"/>
                  </w14:solidFill>
                </w14:textFill>
              </w:rPr>
              <w:t>3</w:t>
            </w:r>
            <w:r>
              <w:rPr>
                <w:rFonts w:hint="eastAsia"/>
                <w:caps/>
                <w:color w:val="000000" w:themeColor="text1"/>
                <w:sz w:val="20"/>
                <w:szCs w:val="20"/>
                <w14:textFill>
                  <w14:solidFill>
                    <w14:schemeClr w14:val="tx1"/>
                  </w14:solidFill>
                </w14:textFill>
              </w:rPr>
              <w:t>、行政合理性原则要求行政机关的权力行使必须符合比例原则的要求。比例原则是指行政机关在采取行为时，应当对行政手段与行政目的之间的关系进行衡量，甚至对两者所代表的利益进行权衡，以保证行政行为是恰当的、合乎比例。具体而言，又可以细分为三个方面的要求：（</w:t>
            </w:r>
            <w:r>
              <w:rPr>
                <w:caps/>
                <w:color w:val="000000" w:themeColor="text1"/>
                <w:sz w:val="20"/>
                <w:szCs w:val="20"/>
                <w14:textFill>
                  <w14:solidFill>
                    <w14:schemeClr w14:val="tx1"/>
                  </w14:solidFill>
                </w14:textFill>
              </w:rPr>
              <w:t>1</w:t>
            </w:r>
            <w:r>
              <w:rPr>
                <w:rFonts w:hint="eastAsia"/>
                <w:caps/>
                <w:color w:val="000000" w:themeColor="text1"/>
                <w:sz w:val="20"/>
                <w:szCs w:val="20"/>
                <w14:textFill>
                  <w14:solidFill>
                    <w14:schemeClr w14:val="tx1"/>
                  </w14:solidFill>
                </w14:textFill>
              </w:rPr>
              <w:t>）行政手段的合目的性，也就是行政主体在选择能够达到预期目标的手段时，必须结合实际情况，对手段运用的效果进行判断，确保所采取的措施必须适合于增进或实现所追求的目的；（</w:t>
            </w:r>
            <w:r>
              <w:rPr>
                <w:caps/>
                <w:color w:val="000000" w:themeColor="text1"/>
                <w:sz w:val="20"/>
                <w:szCs w:val="20"/>
                <w14:textFill>
                  <w14:solidFill>
                    <w14:schemeClr w14:val="tx1"/>
                  </w14:solidFill>
                </w14:textFill>
              </w:rPr>
              <w:t>2</w:t>
            </w:r>
            <w:r>
              <w:rPr>
                <w:rFonts w:hint="eastAsia"/>
                <w:caps/>
                <w:color w:val="000000" w:themeColor="text1"/>
                <w:sz w:val="20"/>
                <w:szCs w:val="20"/>
                <w14:textFill>
                  <w14:solidFill>
                    <w14:schemeClr w14:val="tx1"/>
                  </w14:solidFill>
                </w14:textFill>
              </w:rPr>
              <w:t>）手段的必要性，即在可以实现行政目的的各种手段中，行政主体应当选择对当事人合法权益影响最小的手段和措施；（</w:t>
            </w:r>
            <w:r>
              <w:rPr>
                <w:caps/>
                <w:color w:val="000000" w:themeColor="text1"/>
                <w:sz w:val="20"/>
                <w:szCs w:val="20"/>
                <w14:textFill>
                  <w14:solidFill>
                    <w14:schemeClr w14:val="tx1"/>
                  </w14:solidFill>
                </w14:textFill>
              </w:rPr>
              <w:t>3</w:t>
            </w:r>
            <w:r>
              <w:rPr>
                <w:rFonts w:hint="eastAsia"/>
                <w:caps/>
                <w:color w:val="000000" w:themeColor="text1"/>
                <w:sz w:val="20"/>
                <w:szCs w:val="20"/>
                <w14:textFill>
                  <w14:solidFill>
                    <w14:schemeClr w14:val="tx1"/>
                  </w14:solidFill>
                </w14:textFill>
              </w:rPr>
              <w:t>）衡量性，即行政主体在采取措施时应当对行为的实际利益和可能造成的损害进行衡量，要保证行政所带来的负担不能超过所产生的公共福祉。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5" w:type="dxa"/>
          </w:tcPr>
          <w:p>
            <w:pPr>
              <w:snapToGrid w:val="0"/>
              <w:spacing w:line="340" w:lineRule="exact"/>
              <w:rPr>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论述我国行政处罚的特征及其应遵守的原则。</w:t>
            </w:r>
          </w:p>
        </w:tc>
        <w:tc>
          <w:tcPr>
            <w:tcW w:w="4962" w:type="dxa"/>
          </w:tcPr>
          <w:p>
            <w:pPr>
              <w:snapToGrid w:val="0"/>
              <w:spacing w:line="340" w:lineRule="exact"/>
              <w:ind w:firstLine="400" w:firstLineChars="200"/>
              <w:rPr>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行政处罚是行政主体对于违反行政管理秩序，尚未构成刑事犯罪的行政相对人实施的行政制裁、惩戒行为。</w:t>
            </w:r>
          </w:p>
          <w:p>
            <w:pPr>
              <w:snapToGrid w:val="0"/>
              <w:spacing w:line="340" w:lineRule="exact"/>
              <w:ind w:firstLine="400" w:firstLineChars="200"/>
              <w:rPr>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行政处罚具有以下特征：（</w:t>
            </w:r>
            <w:r>
              <w:rPr>
                <w:caps/>
                <w:color w:val="000000" w:themeColor="text1"/>
                <w:sz w:val="20"/>
                <w:szCs w:val="20"/>
                <w14:textFill>
                  <w14:solidFill>
                    <w14:schemeClr w14:val="tx1"/>
                  </w14:solidFill>
                </w14:textFill>
              </w:rPr>
              <w:t>1</w:t>
            </w:r>
            <w:r>
              <w:rPr>
                <w:rFonts w:hint="eastAsia"/>
                <w:caps/>
                <w:color w:val="000000" w:themeColor="text1"/>
                <w:sz w:val="20"/>
                <w:szCs w:val="20"/>
                <w14:textFill>
                  <w14:solidFill>
                    <w14:schemeClr w14:val="tx1"/>
                  </w14:solidFill>
                </w14:textFill>
              </w:rPr>
              <w:t>）行政处罚的主体是具有行政处罚权的行政机关和法律法规授权的组织；（</w:t>
            </w:r>
            <w:r>
              <w:rPr>
                <w:caps/>
                <w:color w:val="000000" w:themeColor="text1"/>
                <w:sz w:val="20"/>
                <w:szCs w:val="20"/>
                <w14:textFill>
                  <w14:solidFill>
                    <w14:schemeClr w14:val="tx1"/>
                  </w14:solidFill>
                </w14:textFill>
              </w:rPr>
              <w:t>2</w:t>
            </w:r>
            <w:r>
              <w:rPr>
                <w:rFonts w:hint="eastAsia"/>
                <w:caps/>
                <w:color w:val="000000" w:themeColor="text1"/>
                <w:sz w:val="20"/>
                <w:szCs w:val="20"/>
                <w14:textFill>
                  <w14:solidFill>
                    <w14:schemeClr w14:val="tx1"/>
                  </w14:solidFill>
                </w14:textFill>
              </w:rPr>
              <w:t>）行政处罚是行政主体行使国家惩罚权的活动，是一种行政行为；（</w:t>
            </w:r>
            <w:r>
              <w:rPr>
                <w:caps/>
                <w:color w:val="000000" w:themeColor="text1"/>
                <w:sz w:val="20"/>
                <w:szCs w:val="20"/>
                <w14:textFill>
                  <w14:solidFill>
                    <w14:schemeClr w14:val="tx1"/>
                  </w14:solidFill>
                </w14:textFill>
              </w:rPr>
              <w:t>3</w:t>
            </w:r>
            <w:r>
              <w:rPr>
                <w:rFonts w:hint="eastAsia"/>
                <w:caps/>
                <w:color w:val="000000" w:themeColor="text1"/>
                <w:sz w:val="20"/>
                <w:szCs w:val="20"/>
                <w14:textFill>
                  <w14:solidFill>
                    <w14:schemeClr w14:val="tx1"/>
                  </w14:solidFill>
                </w14:textFill>
              </w:rPr>
              <w:t>）行政处罚是典型的依职权行为、负担行政行为和要式行政行为。行政主体实施行政处罚必须依照法定权限，遵循法定程序；同时，行政处罚是对违反行政法律规范的行政相对人的人身自由、财产、名誉或其他权益的限制和剥夺，或者对其科以新的义务，体现了制裁性与惩戒性；（</w:t>
            </w:r>
            <w:r>
              <w:rPr>
                <w:caps/>
                <w:color w:val="000000" w:themeColor="text1"/>
                <w:sz w:val="20"/>
                <w:szCs w:val="20"/>
                <w14:textFill>
                  <w14:solidFill>
                    <w14:schemeClr w14:val="tx1"/>
                  </w14:solidFill>
                </w14:textFill>
              </w:rPr>
              <w:t>4</w:t>
            </w:r>
            <w:r>
              <w:rPr>
                <w:rFonts w:hint="eastAsia"/>
                <w:caps/>
                <w:color w:val="000000" w:themeColor="text1"/>
                <w:sz w:val="20"/>
                <w:szCs w:val="20"/>
                <w14:textFill>
                  <w14:solidFill>
                    <w14:schemeClr w14:val="tx1"/>
                  </w14:solidFill>
                </w14:textFill>
              </w:rPr>
              <w:t>）行政处罚是对违反行政法律规范、尚未构成犯罪的行政相对人的制裁，一旦构成犯罪，便应由刑事法律进行制裁。</w:t>
            </w:r>
          </w:p>
          <w:p>
            <w:pPr>
              <w:snapToGrid w:val="0"/>
              <w:spacing w:line="340" w:lineRule="exact"/>
              <w:ind w:firstLine="400" w:firstLineChars="200"/>
              <w:rPr>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行政处罚的原则包括：</w:t>
            </w:r>
          </w:p>
          <w:p>
            <w:pPr>
              <w:snapToGrid w:val="0"/>
              <w:spacing w:line="340" w:lineRule="exact"/>
              <w:ind w:firstLine="400" w:firstLineChars="200"/>
              <w:rPr>
                <w:caps/>
                <w:color w:val="000000" w:themeColor="text1"/>
                <w:sz w:val="20"/>
                <w:szCs w:val="20"/>
                <w14:textFill>
                  <w14:solidFill>
                    <w14:schemeClr w14:val="tx1"/>
                  </w14:solidFill>
                </w14:textFill>
              </w:rPr>
            </w:pPr>
            <w:r>
              <w:rPr>
                <w:caps/>
                <w:color w:val="000000" w:themeColor="text1"/>
                <w:sz w:val="20"/>
                <w:szCs w:val="20"/>
                <w14:textFill>
                  <w14:solidFill>
                    <w14:schemeClr w14:val="tx1"/>
                  </w14:solidFill>
                </w14:textFill>
              </w:rPr>
              <w:t>1</w:t>
            </w:r>
            <w:r>
              <w:rPr>
                <w:rFonts w:hint="eastAsia"/>
                <w:caps/>
                <w:color w:val="000000" w:themeColor="text1"/>
                <w:sz w:val="20"/>
                <w:szCs w:val="20"/>
                <w14:textFill>
                  <w14:solidFill>
                    <w14:schemeClr w14:val="tx1"/>
                  </w14:solidFill>
                </w14:textFill>
              </w:rPr>
              <w:t>、处罚法定原则</w:t>
            </w:r>
          </w:p>
          <w:p>
            <w:pPr>
              <w:snapToGrid w:val="0"/>
              <w:spacing w:line="340" w:lineRule="exact"/>
              <w:ind w:firstLine="400" w:firstLineChars="200"/>
              <w:rPr>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行政处罚的设定和实施必须依法进行。</w:t>
            </w:r>
          </w:p>
          <w:p>
            <w:pPr>
              <w:numPr>
                <w:ilvl w:val="0"/>
                <w:numId w:val="53"/>
              </w:numPr>
              <w:snapToGrid w:val="0"/>
              <w:spacing w:line="340" w:lineRule="exact"/>
              <w:ind w:firstLine="400" w:firstLineChars="200"/>
              <w:rPr>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过罚相当原则</w:t>
            </w:r>
          </w:p>
          <w:p>
            <w:pPr>
              <w:snapToGrid w:val="0"/>
              <w:spacing w:line="340" w:lineRule="exact"/>
              <w:ind w:firstLine="400" w:firstLineChars="200"/>
              <w:rPr>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设定和实施行政处罚必须以事实为依据，与违法行为的事实、性质、情节以及社会危害程度相当。</w:t>
            </w:r>
          </w:p>
          <w:p>
            <w:pPr>
              <w:numPr>
                <w:ilvl w:val="0"/>
                <w:numId w:val="53"/>
              </w:numPr>
              <w:snapToGrid w:val="0"/>
              <w:spacing w:line="340" w:lineRule="exact"/>
              <w:ind w:firstLine="400" w:firstLineChars="200"/>
              <w:rPr>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公正、公开原则</w:t>
            </w:r>
          </w:p>
          <w:p>
            <w:pPr>
              <w:snapToGrid w:val="0"/>
              <w:spacing w:line="340" w:lineRule="exact"/>
              <w:ind w:firstLine="400" w:firstLineChars="200"/>
              <w:rPr>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这一原则要求：（</w:t>
            </w:r>
            <w:r>
              <w:rPr>
                <w:caps/>
                <w:color w:val="000000" w:themeColor="text1"/>
                <w:sz w:val="20"/>
                <w:szCs w:val="20"/>
                <w14:textFill>
                  <w14:solidFill>
                    <w14:schemeClr w14:val="tx1"/>
                  </w14:solidFill>
                </w14:textFill>
              </w:rPr>
              <w:t>1</w:t>
            </w:r>
            <w:r>
              <w:rPr>
                <w:rFonts w:hint="eastAsia"/>
                <w:caps/>
                <w:color w:val="000000" w:themeColor="text1"/>
                <w:sz w:val="20"/>
                <w:szCs w:val="20"/>
                <w14:textFill>
                  <w14:solidFill>
                    <w14:schemeClr w14:val="tx1"/>
                  </w14:solidFill>
                </w14:textFill>
              </w:rPr>
              <w:t>）行政处罚必须公平、公正，没有偏私；（</w:t>
            </w:r>
            <w:r>
              <w:rPr>
                <w:caps/>
                <w:color w:val="000000" w:themeColor="text1"/>
                <w:sz w:val="20"/>
                <w:szCs w:val="20"/>
                <w14:textFill>
                  <w14:solidFill>
                    <w14:schemeClr w14:val="tx1"/>
                  </w14:solidFill>
                </w14:textFill>
              </w:rPr>
              <w:t>2</w:t>
            </w:r>
            <w:r>
              <w:rPr>
                <w:rFonts w:hint="eastAsia"/>
                <w:caps/>
                <w:color w:val="000000" w:themeColor="text1"/>
                <w:sz w:val="20"/>
                <w:szCs w:val="20"/>
                <w14:textFill>
                  <w14:solidFill>
                    <w14:schemeClr w14:val="tx1"/>
                  </w14:solidFill>
                </w14:textFill>
              </w:rPr>
              <w:t>）有关行政处罚的法律、法规的规定必须公布；（</w:t>
            </w:r>
            <w:r>
              <w:rPr>
                <w:caps/>
                <w:color w:val="000000" w:themeColor="text1"/>
                <w:sz w:val="20"/>
                <w:szCs w:val="20"/>
                <w14:textFill>
                  <w14:solidFill>
                    <w14:schemeClr w14:val="tx1"/>
                  </w14:solidFill>
                </w14:textFill>
              </w:rPr>
              <w:t>3</w:t>
            </w:r>
            <w:r>
              <w:rPr>
                <w:rFonts w:hint="eastAsia"/>
                <w:caps/>
                <w:color w:val="000000" w:themeColor="text1"/>
                <w:sz w:val="20"/>
                <w:szCs w:val="20"/>
                <w14:textFill>
                  <w14:solidFill>
                    <w14:schemeClr w14:val="tx1"/>
                  </w14:solidFill>
                </w14:textFill>
              </w:rPr>
              <w:t>）依法给予违法者的处罚要公开，使受罚者本人及群众对处罚能有较充分的了解。</w:t>
            </w:r>
            <w:r>
              <w:rPr>
                <w:caps/>
                <w:color w:val="000000" w:themeColor="text1"/>
                <w:sz w:val="20"/>
                <w:szCs w:val="20"/>
                <w14:textFill>
                  <w14:solidFill>
                    <w14:schemeClr w14:val="tx1"/>
                  </w14:solidFill>
                </w14:textFill>
              </w:rPr>
              <w:t xml:space="preserve">   </w:t>
            </w:r>
          </w:p>
          <w:p>
            <w:pPr>
              <w:snapToGrid w:val="0"/>
              <w:spacing w:line="340" w:lineRule="exact"/>
              <w:ind w:left="420" w:leftChars="200"/>
              <w:rPr>
                <w:rFonts w:ascii="宋体"/>
                <w:caps/>
                <w:color w:val="000000" w:themeColor="text1"/>
                <w:sz w:val="20"/>
                <w:szCs w:val="20"/>
                <w14:textFill>
                  <w14:solidFill>
                    <w14:schemeClr w14:val="tx1"/>
                  </w14:solidFill>
                </w14:textFill>
              </w:rPr>
            </w:pPr>
            <w:r>
              <w:rPr>
                <w:caps/>
                <w:color w:val="000000" w:themeColor="text1"/>
                <w:sz w:val="20"/>
                <w:szCs w:val="20"/>
                <w14:textFill>
                  <w14:solidFill>
                    <w14:schemeClr w14:val="tx1"/>
                  </w14:solidFill>
                </w14:textFill>
              </w:rPr>
              <w:t>4</w:t>
            </w:r>
            <w:r>
              <w:rPr>
                <w:rFonts w:hint="eastAsia"/>
                <w:caps/>
                <w:color w:val="000000" w:themeColor="text1"/>
                <w:sz w:val="20"/>
                <w:szCs w:val="20"/>
                <w14:textFill>
                  <w14:solidFill>
                    <w14:schemeClr w14:val="tx1"/>
                  </w14:solidFill>
                </w14:textFill>
              </w:rPr>
              <w:t>、</w:t>
            </w:r>
            <w:r>
              <w:rPr>
                <w:rFonts w:hint="eastAsia" w:ascii="宋体" w:hAnsi="宋体"/>
                <w:caps/>
                <w:color w:val="000000" w:themeColor="text1"/>
                <w:sz w:val="20"/>
                <w:szCs w:val="20"/>
                <w14:textFill>
                  <w14:solidFill>
                    <w14:schemeClr w14:val="tx1"/>
                  </w14:solidFill>
                </w14:textFill>
              </w:rPr>
              <w:t>保护当事人合法权益原则</w:t>
            </w:r>
          </w:p>
          <w:p>
            <w:pPr>
              <w:snapToGrid w:val="0"/>
              <w:spacing w:line="340" w:lineRule="exact"/>
              <w:ind w:firstLine="400" w:firstLineChars="200"/>
              <w:rPr>
                <w:rFonts w:ascii="Times New Roman" w:hAnsi="Times New Roman"/>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为了保障当事人的合法权益，《行政处罚法》除依照法治原则，按照正当法律程序对当事人设定和实施行政处罚作出规定，还赋予了当事人许多程序性权利。</w:t>
            </w:r>
          </w:p>
          <w:p>
            <w:pPr>
              <w:snapToGrid w:val="0"/>
              <w:spacing w:line="340" w:lineRule="exact"/>
              <w:ind w:firstLine="400" w:firstLineChars="200"/>
              <w:rPr>
                <w:caps/>
                <w:color w:val="000000" w:themeColor="text1"/>
                <w:sz w:val="20"/>
                <w:szCs w:val="20"/>
                <w14:textFill>
                  <w14:solidFill>
                    <w14:schemeClr w14:val="tx1"/>
                  </w14:solidFill>
                </w14:textFill>
              </w:rPr>
            </w:pPr>
            <w:r>
              <w:rPr>
                <w:caps/>
                <w:color w:val="000000" w:themeColor="text1"/>
                <w:sz w:val="20"/>
                <w:szCs w:val="20"/>
                <w14:textFill>
                  <w14:solidFill>
                    <w14:schemeClr w14:val="tx1"/>
                  </w14:solidFill>
                </w14:textFill>
              </w:rPr>
              <w:t>5</w:t>
            </w:r>
            <w:r>
              <w:rPr>
                <w:rFonts w:hint="eastAsia"/>
                <w:caps/>
                <w:color w:val="000000" w:themeColor="text1"/>
                <w:sz w:val="20"/>
                <w:szCs w:val="20"/>
                <w14:textFill>
                  <w14:solidFill>
                    <w14:schemeClr w14:val="tx1"/>
                  </w14:solidFill>
                </w14:textFill>
              </w:rPr>
              <w:t>、一事不再罚原则</w:t>
            </w:r>
          </w:p>
          <w:p>
            <w:pPr>
              <w:snapToGrid w:val="0"/>
              <w:spacing w:line="340" w:lineRule="exact"/>
              <w:ind w:firstLine="400" w:firstLineChars="200"/>
              <w:rPr>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《行政处罚法》第</w:t>
            </w:r>
            <w:r>
              <w:rPr>
                <w:caps/>
                <w:color w:val="000000" w:themeColor="text1"/>
                <w:sz w:val="20"/>
                <w:szCs w:val="20"/>
                <w14:textFill>
                  <w14:solidFill>
                    <w14:schemeClr w14:val="tx1"/>
                  </w14:solidFill>
                </w14:textFill>
              </w:rPr>
              <w:t>24</w:t>
            </w:r>
            <w:r>
              <w:rPr>
                <w:rFonts w:hint="eastAsia"/>
                <w:caps/>
                <w:color w:val="000000" w:themeColor="text1"/>
                <w:sz w:val="20"/>
                <w:szCs w:val="20"/>
                <w14:textFill>
                  <w14:solidFill>
                    <w14:schemeClr w14:val="tx1"/>
                  </w14:solidFill>
                </w14:textFill>
              </w:rPr>
              <w:t>条明确规定，行政主体对当事人的同一个违法行为，不得给予两次以上罚款的行政处罚。</w:t>
            </w:r>
          </w:p>
          <w:p>
            <w:pPr>
              <w:numPr>
                <w:ilvl w:val="0"/>
                <w:numId w:val="54"/>
              </w:numPr>
              <w:snapToGrid w:val="0"/>
              <w:spacing w:line="340" w:lineRule="exact"/>
              <w:ind w:firstLine="400" w:firstLineChars="200"/>
              <w:rPr>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罚缴分离原则</w:t>
            </w:r>
          </w:p>
          <w:p>
            <w:pPr>
              <w:snapToGrid w:val="0"/>
              <w:spacing w:line="340" w:lineRule="exact"/>
              <w:ind w:firstLine="400" w:firstLineChars="200"/>
              <w:rPr>
                <w:rFonts w:ascii="宋体"/>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罚缴分离原则，是指在罚款的收缴过程中，罚款的决定者、收缴者、所有者三者的分离，这是罚款收缴的基本原则。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5" w:type="dxa"/>
            <w:vAlign w:val="center"/>
          </w:tcPr>
          <w:p>
            <w:pPr>
              <w:rPr>
                <w:color w:val="000000" w:themeColor="text1"/>
                <w:sz w:val="20"/>
                <w:szCs w:val="20"/>
                <w14:textFill>
                  <w14:solidFill>
                    <w14:schemeClr w14:val="tx1"/>
                  </w14:solidFill>
                </w14:textFill>
              </w:rPr>
            </w:pPr>
            <w:r>
              <w:rPr>
                <w:rFonts w:hint="eastAsia"/>
                <w:color w:val="000000" w:themeColor="text1"/>
                <w:sz w:val="20"/>
                <w:szCs w:val="20"/>
                <w14:textFill>
                  <w14:solidFill>
                    <w14:schemeClr w14:val="tx1"/>
                  </w14:solidFill>
                </w14:textFill>
              </w:rPr>
              <w:t>试论行政法的概念、特征及作用。</w:t>
            </w:r>
          </w:p>
        </w:tc>
        <w:tc>
          <w:tcPr>
            <w:tcW w:w="4962" w:type="dxa"/>
            <w:vAlign w:val="center"/>
          </w:tcPr>
          <w:p>
            <w:pPr>
              <w:snapToGrid w:val="0"/>
              <w:spacing w:line="340" w:lineRule="exact"/>
              <w:ind w:firstLine="400" w:firstLineChars="200"/>
              <w:rPr>
                <w:caps/>
                <w:color w:val="000000" w:themeColor="text1"/>
                <w:sz w:val="20"/>
                <w:szCs w:val="20"/>
                <w14:textFill>
                  <w14:solidFill>
                    <w14:schemeClr w14:val="tx1"/>
                  </w14:solidFill>
                </w14:textFill>
              </w:rPr>
            </w:pPr>
            <w:r>
              <w:rPr>
                <w:rFonts w:hint="eastAsia" w:ascii="Times New Roman" w:hAnsi="Times New Roman"/>
                <w:caps/>
                <w:color w:val="000000" w:themeColor="text1"/>
                <w:sz w:val="20"/>
                <w:szCs w:val="20"/>
                <w14:textFill>
                  <w14:solidFill>
                    <w14:schemeClr w14:val="tx1"/>
                  </w14:solidFill>
                </w14:textFill>
              </w:rPr>
              <w:t>所谓行政法，就是控制、保障和规范行政权的法律规范的总称。作为一个独立的法律部门，行政法与其他部门法相比，具有如下特点：（</w:t>
            </w:r>
            <w:r>
              <w:rPr>
                <w:rFonts w:ascii="Times New Roman" w:hAnsi="Times New Roman"/>
                <w:caps/>
                <w:color w:val="000000" w:themeColor="text1"/>
                <w:sz w:val="20"/>
                <w:szCs w:val="20"/>
                <w14:textFill>
                  <w14:solidFill>
                    <w14:schemeClr w14:val="tx1"/>
                  </w14:solidFill>
                </w14:textFill>
              </w:rPr>
              <w:t>1</w:t>
            </w:r>
            <w:r>
              <w:rPr>
                <w:rFonts w:hint="eastAsia" w:ascii="Times New Roman" w:hAnsi="Times New Roman"/>
                <w:caps/>
                <w:color w:val="000000" w:themeColor="text1"/>
                <w:sz w:val="20"/>
                <w:szCs w:val="20"/>
                <w14:textFill>
                  <w14:solidFill>
                    <w14:schemeClr w14:val="tx1"/>
                  </w14:solidFill>
                </w14:textFill>
              </w:rPr>
              <w:t>）行政法没有一部集基本规范于一体的统一实体法典；（</w:t>
            </w:r>
            <w:r>
              <w:rPr>
                <w:rFonts w:ascii="Times New Roman" w:hAnsi="Times New Roman"/>
                <w:caps/>
                <w:color w:val="000000" w:themeColor="text1"/>
                <w:sz w:val="20"/>
                <w:szCs w:val="20"/>
                <w14:textFill>
                  <w14:solidFill>
                    <w14:schemeClr w14:val="tx1"/>
                  </w14:solidFill>
                </w14:textFill>
              </w:rPr>
              <w:t>2</w:t>
            </w:r>
            <w:r>
              <w:rPr>
                <w:rFonts w:hint="eastAsia" w:ascii="Times New Roman" w:hAnsi="Times New Roman"/>
                <w:caps/>
                <w:color w:val="000000" w:themeColor="text1"/>
                <w:sz w:val="20"/>
                <w:szCs w:val="20"/>
                <w14:textFill>
                  <w14:solidFill>
                    <w14:schemeClr w14:val="tx1"/>
                  </w14:solidFill>
                </w14:textFill>
              </w:rPr>
              <w:t>）行政法涉及的领域极为广泛，内容非常丰富；（</w:t>
            </w:r>
            <w:r>
              <w:rPr>
                <w:rFonts w:ascii="Times New Roman" w:hAnsi="Times New Roman"/>
                <w:caps/>
                <w:color w:val="000000" w:themeColor="text1"/>
                <w:sz w:val="20"/>
                <w:szCs w:val="20"/>
                <w14:textFill>
                  <w14:solidFill>
                    <w14:schemeClr w14:val="tx1"/>
                  </w14:solidFill>
                </w14:textFill>
              </w:rPr>
              <w:t>3</w:t>
            </w:r>
            <w:r>
              <w:rPr>
                <w:rFonts w:hint="eastAsia" w:ascii="Times New Roman" w:hAnsi="Times New Roman"/>
                <w:caps/>
                <w:color w:val="000000" w:themeColor="text1"/>
                <w:sz w:val="20"/>
                <w:szCs w:val="20"/>
                <w14:textFill>
                  <w14:solidFill>
                    <w14:schemeClr w14:val="tx1"/>
                  </w14:solidFill>
                </w14:textFill>
              </w:rPr>
              <w:t>）行政法规范具有易变性；（</w:t>
            </w:r>
            <w:r>
              <w:rPr>
                <w:rFonts w:ascii="Times New Roman" w:hAnsi="Times New Roman"/>
                <w:caps/>
                <w:color w:val="000000" w:themeColor="text1"/>
                <w:sz w:val="20"/>
                <w:szCs w:val="20"/>
                <w14:textFill>
                  <w14:solidFill>
                    <w14:schemeClr w14:val="tx1"/>
                  </w14:solidFill>
                </w14:textFill>
              </w:rPr>
              <w:t>4</w:t>
            </w:r>
            <w:r>
              <w:rPr>
                <w:rFonts w:hint="eastAsia" w:ascii="Times New Roman" w:hAnsi="Times New Roman"/>
                <w:caps/>
                <w:color w:val="000000" w:themeColor="text1"/>
                <w:sz w:val="20"/>
                <w:szCs w:val="20"/>
                <w14:textFill>
                  <w14:solidFill>
                    <w14:schemeClr w14:val="tx1"/>
                  </w14:solidFill>
                </w14:textFill>
              </w:rPr>
              <w:t>）行政法的实体法规范与程序法规范相交织并共存于一个法律文件中。</w:t>
            </w:r>
          </w:p>
          <w:p>
            <w:pPr>
              <w:snapToGrid w:val="0"/>
              <w:spacing w:line="340" w:lineRule="exact"/>
              <w:ind w:firstLine="400" w:firstLineChars="200"/>
              <w:rPr>
                <w:rFonts w:ascii="宋体"/>
                <w:caps/>
                <w:color w:val="000000" w:themeColor="text1"/>
                <w:sz w:val="20"/>
                <w:szCs w:val="20"/>
                <w14:textFill>
                  <w14:solidFill>
                    <w14:schemeClr w14:val="tx1"/>
                  </w14:solidFill>
                </w14:textFill>
              </w:rPr>
            </w:pPr>
            <w:r>
              <w:rPr>
                <w:rFonts w:hint="eastAsia"/>
                <w:caps/>
                <w:color w:val="000000" w:themeColor="text1"/>
                <w:sz w:val="20"/>
                <w:szCs w:val="20"/>
                <w14:textFill>
                  <w14:solidFill>
                    <w14:schemeClr w14:val="tx1"/>
                  </w14:solidFill>
                </w14:textFill>
              </w:rPr>
              <w:t>作为国家重要的法律部门之一，行政法的作用主要体现在以下几个方面：（</w:t>
            </w:r>
            <w:r>
              <w:rPr>
                <w:caps/>
                <w:color w:val="000000" w:themeColor="text1"/>
                <w:sz w:val="20"/>
                <w:szCs w:val="20"/>
                <w14:textFill>
                  <w14:solidFill>
                    <w14:schemeClr w14:val="tx1"/>
                  </w14:solidFill>
                </w14:textFill>
              </w:rPr>
              <w:t>1</w:t>
            </w:r>
            <w:r>
              <w:rPr>
                <w:rFonts w:hint="eastAsia"/>
                <w:caps/>
                <w:color w:val="000000" w:themeColor="text1"/>
                <w:sz w:val="20"/>
                <w:szCs w:val="20"/>
                <w14:textFill>
                  <w14:solidFill>
                    <w14:schemeClr w14:val="tx1"/>
                  </w14:solidFill>
                </w14:textFill>
              </w:rPr>
              <w:t>）行政法具有保障行政管理有效实施的作用；（</w:t>
            </w:r>
            <w:r>
              <w:rPr>
                <w:caps/>
                <w:color w:val="000000" w:themeColor="text1"/>
                <w:sz w:val="20"/>
                <w:szCs w:val="20"/>
                <w14:textFill>
                  <w14:solidFill>
                    <w14:schemeClr w14:val="tx1"/>
                  </w14:solidFill>
                </w14:textFill>
              </w:rPr>
              <w:t>2</w:t>
            </w:r>
            <w:r>
              <w:rPr>
                <w:rFonts w:hint="eastAsia"/>
                <w:caps/>
                <w:color w:val="000000" w:themeColor="text1"/>
                <w:sz w:val="20"/>
                <w:szCs w:val="20"/>
                <w14:textFill>
                  <w14:solidFill>
                    <w14:schemeClr w14:val="tx1"/>
                  </w14:solidFill>
                </w14:textFill>
              </w:rPr>
              <w:t>）行政法具有保护公民、法人或其他组织合法权益的作用。通过法律来规范、约束行政权的行使，是保障公民权利不因权力滥用而受到侵害的关键。</w:t>
            </w:r>
          </w:p>
        </w:tc>
      </w:tr>
    </w:tbl>
    <w:p>
      <w:pPr>
        <w:rPr>
          <w:rFonts w:ascii="宋体"/>
          <w:color w:val="000000" w:themeColor="text1"/>
          <w:szCs w:val="21"/>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3C7A60"/>
    <w:multiLevelType w:val="singleLevel"/>
    <w:tmpl w:val="AE3C7A60"/>
    <w:lvl w:ilvl="0" w:tentative="0">
      <w:start w:val="1"/>
      <w:numFmt w:val="upperLetter"/>
      <w:suff w:val="nothing"/>
      <w:lvlText w:val="%1."/>
      <w:lvlJc w:val="left"/>
      <w:rPr>
        <w:rFonts w:cs="Times New Roman"/>
      </w:rPr>
    </w:lvl>
  </w:abstractNum>
  <w:abstractNum w:abstractNumId="1">
    <w:nsid w:val="E1B82435"/>
    <w:multiLevelType w:val="singleLevel"/>
    <w:tmpl w:val="E1B82435"/>
    <w:lvl w:ilvl="0" w:tentative="0">
      <w:start w:val="1"/>
      <w:numFmt w:val="upperLetter"/>
      <w:suff w:val="nothing"/>
      <w:lvlText w:val="%1."/>
      <w:lvlJc w:val="left"/>
      <w:rPr>
        <w:rFonts w:cs="Times New Roman"/>
      </w:rPr>
    </w:lvl>
  </w:abstractNum>
  <w:abstractNum w:abstractNumId="2">
    <w:nsid w:val="F1C15F09"/>
    <w:multiLevelType w:val="singleLevel"/>
    <w:tmpl w:val="F1C15F09"/>
    <w:lvl w:ilvl="0" w:tentative="0">
      <w:start w:val="1"/>
      <w:numFmt w:val="upperLetter"/>
      <w:suff w:val="nothing"/>
      <w:lvlText w:val="%1."/>
      <w:lvlJc w:val="left"/>
      <w:rPr>
        <w:rFonts w:cs="Times New Roman"/>
      </w:rPr>
    </w:lvl>
  </w:abstractNum>
  <w:abstractNum w:abstractNumId="3">
    <w:nsid w:val="144C90C4"/>
    <w:multiLevelType w:val="singleLevel"/>
    <w:tmpl w:val="144C90C4"/>
    <w:lvl w:ilvl="0" w:tentative="0">
      <w:start w:val="1"/>
      <w:numFmt w:val="upperLetter"/>
      <w:suff w:val="nothing"/>
      <w:lvlText w:val="%1."/>
      <w:lvlJc w:val="left"/>
      <w:rPr>
        <w:rFonts w:cs="Times New Roman"/>
      </w:rPr>
    </w:lvl>
  </w:abstractNum>
  <w:abstractNum w:abstractNumId="4">
    <w:nsid w:val="1D5B8273"/>
    <w:multiLevelType w:val="singleLevel"/>
    <w:tmpl w:val="1D5B8273"/>
    <w:lvl w:ilvl="0" w:tentative="0">
      <w:start w:val="1"/>
      <w:numFmt w:val="upperLetter"/>
      <w:suff w:val="nothing"/>
      <w:lvlText w:val="%1."/>
      <w:lvlJc w:val="left"/>
      <w:rPr>
        <w:rFonts w:cs="Times New Roman"/>
      </w:rPr>
    </w:lvl>
  </w:abstractNum>
  <w:abstractNum w:abstractNumId="5">
    <w:nsid w:val="1EC57A4A"/>
    <w:multiLevelType w:val="singleLevel"/>
    <w:tmpl w:val="1EC57A4A"/>
    <w:lvl w:ilvl="0" w:tentative="0">
      <w:start w:val="1"/>
      <w:numFmt w:val="upperLetter"/>
      <w:suff w:val="nothing"/>
      <w:lvlText w:val="%1."/>
      <w:lvlJc w:val="left"/>
      <w:rPr>
        <w:rFonts w:cs="Times New Roman"/>
      </w:rPr>
    </w:lvl>
  </w:abstractNum>
  <w:abstractNum w:abstractNumId="6">
    <w:nsid w:val="1FEF2A30"/>
    <w:multiLevelType w:val="singleLevel"/>
    <w:tmpl w:val="1FEF2A30"/>
    <w:lvl w:ilvl="0" w:tentative="0">
      <w:start w:val="1"/>
      <w:numFmt w:val="upperLetter"/>
      <w:suff w:val="nothing"/>
      <w:lvlText w:val="%1."/>
      <w:lvlJc w:val="left"/>
      <w:rPr>
        <w:rFonts w:cs="Times New Roman"/>
      </w:rPr>
    </w:lvl>
  </w:abstractNum>
  <w:abstractNum w:abstractNumId="7">
    <w:nsid w:val="299162F6"/>
    <w:multiLevelType w:val="singleLevel"/>
    <w:tmpl w:val="299162F6"/>
    <w:lvl w:ilvl="0" w:tentative="0">
      <w:start w:val="1"/>
      <w:numFmt w:val="upperLetter"/>
      <w:suff w:val="nothing"/>
      <w:lvlText w:val="%1."/>
      <w:lvlJc w:val="left"/>
      <w:rPr>
        <w:rFonts w:cs="Times New Roman"/>
      </w:rPr>
    </w:lvl>
  </w:abstractNum>
  <w:abstractNum w:abstractNumId="8">
    <w:nsid w:val="3526D5BB"/>
    <w:multiLevelType w:val="singleLevel"/>
    <w:tmpl w:val="3526D5BB"/>
    <w:lvl w:ilvl="0" w:tentative="0">
      <w:start w:val="1"/>
      <w:numFmt w:val="upperLetter"/>
      <w:suff w:val="nothing"/>
      <w:lvlText w:val="%1."/>
      <w:lvlJc w:val="left"/>
      <w:rPr>
        <w:rFonts w:cs="Times New Roman"/>
      </w:rPr>
    </w:lvl>
  </w:abstractNum>
  <w:abstractNum w:abstractNumId="9">
    <w:nsid w:val="35D44D7B"/>
    <w:multiLevelType w:val="singleLevel"/>
    <w:tmpl w:val="35D44D7B"/>
    <w:lvl w:ilvl="0" w:tentative="0">
      <w:start w:val="1"/>
      <w:numFmt w:val="upperLetter"/>
      <w:suff w:val="nothing"/>
      <w:lvlText w:val="%1."/>
      <w:lvlJc w:val="left"/>
      <w:rPr>
        <w:rFonts w:cs="Times New Roman"/>
      </w:rPr>
    </w:lvl>
  </w:abstractNum>
  <w:abstractNum w:abstractNumId="10">
    <w:nsid w:val="3A2C76EB"/>
    <w:multiLevelType w:val="singleLevel"/>
    <w:tmpl w:val="3A2C76EB"/>
    <w:lvl w:ilvl="0" w:tentative="0">
      <w:start w:val="1"/>
      <w:numFmt w:val="upperLetter"/>
      <w:suff w:val="nothing"/>
      <w:lvlText w:val="%1."/>
      <w:lvlJc w:val="left"/>
      <w:rPr>
        <w:rFonts w:cs="Times New Roman"/>
      </w:rPr>
    </w:lvl>
  </w:abstractNum>
  <w:abstractNum w:abstractNumId="11">
    <w:nsid w:val="40C51442"/>
    <w:multiLevelType w:val="singleLevel"/>
    <w:tmpl w:val="40C51442"/>
    <w:lvl w:ilvl="0" w:tentative="0">
      <w:start w:val="1"/>
      <w:numFmt w:val="upperLetter"/>
      <w:suff w:val="nothing"/>
      <w:lvlText w:val="%1."/>
      <w:lvlJc w:val="left"/>
      <w:rPr>
        <w:rFonts w:cs="Times New Roman"/>
      </w:rPr>
    </w:lvl>
  </w:abstractNum>
  <w:abstractNum w:abstractNumId="12">
    <w:nsid w:val="4A7074BA"/>
    <w:multiLevelType w:val="singleLevel"/>
    <w:tmpl w:val="4A7074BA"/>
    <w:lvl w:ilvl="0" w:tentative="0">
      <w:start w:val="1"/>
      <w:numFmt w:val="upperLetter"/>
      <w:suff w:val="nothing"/>
      <w:lvlText w:val="%1."/>
      <w:lvlJc w:val="left"/>
      <w:rPr>
        <w:rFonts w:cs="Times New Roman"/>
      </w:rPr>
    </w:lvl>
  </w:abstractNum>
  <w:abstractNum w:abstractNumId="13">
    <w:nsid w:val="4CC90D3E"/>
    <w:multiLevelType w:val="singleLevel"/>
    <w:tmpl w:val="4CC90D3E"/>
    <w:lvl w:ilvl="0" w:tentative="0">
      <w:start w:val="1"/>
      <w:numFmt w:val="upperLetter"/>
      <w:suff w:val="nothing"/>
      <w:lvlText w:val="%1."/>
      <w:lvlJc w:val="left"/>
      <w:rPr>
        <w:rFonts w:cs="Times New Roman"/>
      </w:rPr>
    </w:lvl>
  </w:abstractNum>
  <w:abstractNum w:abstractNumId="14">
    <w:nsid w:val="57CC7A0A"/>
    <w:multiLevelType w:val="singleLevel"/>
    <w:tmpl w:val="57CC7A0A"/>
    <w:lvl w:ilvl="0" w:tentative="0">
      <w:start w:val="1"/>
      <w:numFmt w:val="upperLetter"/>
      <w:suff w:val="nothing"/>
      <w:lvlText w:val="%1."/>
      <w:lvlJc w:val="left"/>
      <w:rPr>
        <w:rFonts w:cs="Times New Roman"/>
      </w:rPr>
    </w:lvl>
  </w:abstractNum>
  <w:abstractNum w:abstractNumId="15">
    <w:nsid w:val="598EFD70"/>
    <w:multiLevelType w:val="singleLevel"/>
    <w:tmpl w:val="598EFD70"/>
    <w:lvl w:ilvl="0" w:tentative="0">
      <w:start w:val="1"/>
      <w:numFmt w:val="upperLetter"/>
      <w:suff w:val="nothing"/>
      <w:lvlText w:val="%1."/>
      <w:lvlJc w:val="left"/>
      <w:rPr>
        <w:rFonts w:cs="Times New Roman"/>
      </w:rPr>
    </w:lvl>
  </w:abstractNum>
  <w:abstractNum w:abstractNumId="16">
    <w:nsid w:val="598EFE1F"/>
    <w:multiLevelType w:val="singleLevel"/>
    <w:tmpl w:val="598EFE1F"/>
    <w:lvl w:ilvl="0" w:tentative="0">
      <w:start w:val="1"/>
      <w:numFmt w:val="upperLetter"/>
      <w:suff w:val="nothing"/>
      <w:lvlText w:val="%1."/>
      <w:lvlJc w:val="left"/>
      <w:rPr>
        <w:rFonts w:cs="Times New Roman"/>
      </w:rPr>
    </w:lvl>
  </w:abstractNum>
  <w:abstractNum w:abstractNumId="17">
    <w:nsid w:val="598EFEA9"/>
    <w:multiLevelType w:val="singleLevel"/>
    <w:tmpl w:val="598EFEA9"/>
    <w:lvl w:ilvl="0" w:tentative="0">
      <w:start w:val="1"/>
      <w:numFmt w:val="upperLetter"/>
      <w:suff w:val="nothing"/>
      <w:lvlText w:val="%1."/>
      <w:lvlJc w:val="left"/>
      <w:rPr>
        <w:rFonts w:cs="Times New Roman"/>
      </w:rPr>
    </w:lvl>
  </w:abstractNum>
  <w:abstractNum w:abstractNumId="18">
    <w:nsid w:val="598EFF8B"/>
    <w:multiLevelType w:val="singleLevel"/>
    <w:tmpl w:val="598EFF8B"/>
    <w:lvl w:ilvl="0" w:tentative="0">
      <w:start w:val="1"/>
      <w:numFmt w:val="upperLetter"/>
      <w:suff w:val="nothing"/>
      <w:lvlText w:val="%1."/>
      <w:lvlJc w:val="left"/>
      <w:rPr>
        <w:rFonts w:cs="Times New Roman"/>
      </w:rPr>
    </w:lvl>
  </w:abstractNum>
  <w:abstractNum w:abstractNumId="19">
    <w:nsid w:val="598F000E"/>
    <w:multiLevelType w:val="singleLevel"/>
    <w:tmpl w:val="598F000E"/>
    <w:lvl w:ilvl="0" w:tentative="0">
      <w:start w:val="1"/>
      <w:numFmt w:val="upperLetter"/>
      <w:suff w:val="nothing"/>
      <w:lvlText w:val="%1."/>
      <w:lvlJc w:val="left"/>
      <w:rPr>
        <w:rFonts w:cs="Times New Roman"/>
      </w:rPr>
    </w:lvl>
  </w:abstractNum>
  <w:abstractNum w:abstractNumId="20">
    <w:nsid w:val="598F0109"/>
    <w:multiLevelType w:val="singleLevel"/>
    <w:tmpl w:val="598F0109"/>
    <w:lvl w:ilvl="0" w:tentative="0">
      <w:start w:val="1"/>
      <w:numFmt w:val="upperLetter"/>
      <w:suff w:val="nothing"/>
      <w:lvlText w:val="%1."/>
      <w:lvlJc w:val="left"/>
      <w:rPr>
        <w:rFonts w:cs="Times New Roman"/>
      </w:rPr>
    </w:lvl>
  </w:abstractNum>
  <w:abstractNum w:abstractNumId="21">
    <w:nsid w:val="598F0128"/>
    <w:multiLevelType w:val="singleLevel"/>
    <w:tmpl w:val="598F0128"/>
    <w:lvl w:ilvl="0" w:tentative="0">
      <w:start w:val="1"/>
      <w:numFmt w:val="upperLetter"/>
      <w:suff w:val="nothing"/>
      <w:lvlText w:val="%1."/>
      <w:lvlJc w:val="left"/>
      <w:rPr>
        <w:rFonts w:cs="Times New Roman"/>
      </w:rPr>
    </w:lvl>
  </w:abstractNum>
  <w:abstractNum w:abstractNumId="22">
    <w:nsid w:val="598F0268"/>
    <w:multiLevelType w:val="singleLevel"/>
    <w:tmpl w:val="598F0268"/>
    <w:lvl w:ilvl="0" w:tentative="0">
      <w:start w:val="1"/>
      <w:numFmt w:val="upperLetter"/>
      <w:suff w:val="nothing"/>
      <w:lvlText w:val="%1."/>
      <w:lvlJc w:val="left"/>
      <w:rPr>
        <w:rFonts w:cs="Times New Roman"/>
      </w:rPr>
    </w:lvl>
  </w:abstractNum>
  <w:abstractNum w:abstractNumId="23">
    <w:nsid w:val="598F027C"/>
    <w:multiLevelType w:val="singleLevel"/>
    <w:tmpl w:val="598F027C"/>
    <w:lvl w:ilvl="0" w:tentative="0">
      <w:start w:val="1"/>
      <w:numFmt w:val="upperLetter"/>
      <w:suff w:val="nothing"/>
      <w:lvlText w:val="%1."/>
      <w:lvlJc w:val="left"/>
      <w:rPr>
        <w:rFonts w:cs="Times New Roman"/>
      </w:rPr>
    </w:lvl>
  </w:abstractNum>
  <w:abstractNum w:abstractNumId="24">
    <w:nsid w:val="5991399B"/>
    <w:multiLevelType w:val="singleLevel"/>
    <w:tmpl w:val="5991399B"/>
    <w:lvl w:ilvl="0" w:tentative="0">
      <w:start w:val="1"/>
      <w:numFmt w:val="upperLetter"/>
      <w:suff w:val="nothing"/>
      <w:lvlText w:val="%1."/>
      <w:lvlJc w:val="left"/>
      <w:rPr>
        <w:rFonts w:cs="Times New Roman"/>
      </w:rPr>
    </w:lvl>
  </w:abstractNum>
  <w:abstractNum w:abstractNumId="25">
    <w:nsid w:val="59913C23"/>
    <w:multiLevelType w:val="singleLevel"/>
    <w:tmpl w:val="59913C23"/>
    <w:lvl w:ilvl="0" w:tentative="0">
      <w:start w:val="1"/>
      <w:numFmt w:val="upperLetter"/>
      <w:suff w:val="nothing"/>
      <w:lvlText w:val="%1."/>
      <w:lvlJc w:val="left"/>
      <w:rPr>
        <w:rFonts w:cs="Times New Roman"/>
      </w:rPr>
    </w:lvl>
  </w:abstractNum>
  <w:abstractNum w:abstractNumId="26">
    <w:nsid w:val="59913CF5"/>
    <w:multiLevelType w:val="singleLevel"/>
    <w:tmpl w:val="59913CF5"/>
    <w:lvl w:ilvl="0" w:tentative="0">
      <w:start w:val="1"/>
      <w:numFmt w:val="upperLetter"/>
      <w:suff w:val="nothing"/>
      <w:lvlText w:val="%1."/>
      <w:lvlJc w:val="left"/>
      <w:rPr>
        <w:rFonts w:cs="Times New Roman"/>
      </w:rPr>
    </w:lvl>
  </w:abstractNum>
  <w:abstractNum w:abstractNumId="27">
    <w:nsid w:val="59913F1C"/>
    <w:multiLevelType w:val="singleLevel"/>
    <w:tmpl w:val="59913F1C"/>
    <w:lvl w:ilvl="0" w:tentative="0">
      <w:start w:val="1"/>
      <w:numFmt w:val="upperLetter"/>
      <w:suff w:val="nothing"/>
      <w:lvlText w:val="%1."/>
      <w:lvlJc w:val="left"/>
      <w:rPr>
        <w:rFonts w:cs="Times New Roman"/>
      </w:rPr>
    </w:lvl>
  </w:abstractNum>
  <w:abstractNum w:abstractNumId="28">
    <w:nsid w:val="599140FE"/>
    <w:multiLevelType w:val="singleLevel"/>
    <w:tmpl w:val="599140FE"/>
    <w:lvl w:ilvl="0" w:tentative="0">
      <w:start w:val="1"/>
      <w:numFmt w:val="upperLetter"/>
      <w:suff w:val="nothing"/>
      <w:lvlText w:val="%1."/>
      <w:lvlJc w:val="left"/>
      <w:rPr>
        <w:rFonts w:cs="Times New Roman"/>
      </w:rPr>
    </w:lvl>
  </w:abstractNum>
  <w:abstractNum w:abstractNumId="29">
    <w:nsid w:val="59914189"/>
    <w:multiLevelType w:val="singleLevel"/>
    <w:tmpl w:val="59914189"/>
    <w:lvl w:ilvl="0" w:tentative="0">
      <w:start w:val="1"/>
      <w:numFmt w:val="upperLetter"/>
      <w:suff w:val="nothing"/>
      <w:lvlText w:val="%1."/>
      <w:lvlJc w:val="left"/>
      <w:rPr>
        <w:rFonts w:cs="Times New Roman"/>
      </w:rPr>
    </w:lvl>
  </w:abstractNum>
  <w:abstractNum w:abstractNumId="30">
    <w:nsid w:val="5991419F"/>
    <w:multiLevelType w:val="singleLevel"/>
    <w:tmpl w:val="5991419F"/>
    <w:lvl w:ilvl="0" w:tentative="0">
      <w:start w:val="1"/>
      <w:numFmt w:val="upperLetter"/>
      <w:suff w:val="nothing"/>
      <w:lvlText w:val="%1."/>
      <w:lvlJc w:val="left"/>
      <w:rPr>
        <w:rFonts w:cs="Times New Roman"/>
      </w:rPr>
    </w:lvl>
  </w:abstractNum>
  <w:abstractNum w:abstractNumId="31">
    <w:nsid w:val="59914336"/>
    <w:multiLevelType w:val="singleLevel"/>
    <w:tmpl w:val="59914336"/>
    <w:lvl w:ilvl="0" w:tentative="0">
      <w:start w:val="1"/>
      <w:numFmt w:val="upperLetter"/>
      <w:suff w:val="nothing"/>
      <w:lvlText w:val="%1."/>
      <w:lvlJc w:val="left"/>
      <w:rPr>
        <w:rFonts w:cs="Times New Roman"/>
      </w:rPr>
    </w:lvl>
  </w:abstractNum>
  <w:abstractNum w:abstractNumId="32">
    <w:nsid w:val="599143A0"/>
    <w:multiLevelType w:val="singleLevel"/>
    <w:tmpl w:val="599143A0"/>
    <w:lvl w:ilvl="0" w:tentative="0">
      <w:start w:val="1"/>
      <w:numFmt w:val="upperLetter"/>
      <w:suff w:val="nothing"/>
      <w:lvlText w:val="%1."/>
      <w:lvlJc w:val="left"/>
      <w:rPr>
        <w:rFonts w:cs="Times New Roman"/>
      </w:rPr>
    </w:lvl>
  </w:abstractNum>
  <w:abstractNum w:abstractNumId="33">
    <w:nsid w:val="59914477"/>
    <w:multiLevelType w:val="singleLevel"/>
    <w:tmpl w:val="59914477"/>
    <w:lvl w:ilvl="0" w:tentative="0">
      <w:start w:val="1"/>
      <w:numFmt w:val="upperLetter"/>
      <w:suff w:val="nothing"/>
      <w:lvlText w:val="%1."/>
      <w:lvlJc w:val="left"/>
      <w:rPr>
        <w:rFonts w:cs="Times New Roman"/>
      </w:rPr>
    </w:lvl>
  </w:abstractNum>
  <w:abstractNum w:abstractNumId="34">
    <w:nsid w:val="599152B2"/>
    <w:multiLevelType w:val="singleLevel"/>
    <w:tmpl w:val="599152B2"/>
    <w:lvl w:ilvl="0" w:tentative="0">
      <w:start w:val="1"/>
      <w:numFmt w:val="upperLetter"/>
      <w:suff w:val="nothing"/>
      <w:lvlText w:val="%1."/>
      <w:lvlJc w:val="left"/>
      <w:rPr>
        <w:rFonts w:cs="Times New Roman"/>
      </w:rPr>
    </w:lvl>
  </w:abstractNum>
  <w:abstractNum w:abstractNumId="35">
    <w:nsid w:val="599152C1"/>
    <w:multiLevelType w:val="singleLevel"/>
    <w:tmpl w:val="599152C1"/>
    <w:lvl w:ilvl="0" w:tentative="0">
      <w:start w:val="1"/>
      <w:numFmt w:val="upperLetter"/>
      <w:suff w:val="nothing"/>
      <w:lvlText w:val="%1."/>
      <w:lvlJc w:val="left"/>
      <w:rPr>
        <w:rFonts w:cs="Times New Roman"/>
      </w:rPr>
    </w:lvl>
  </w:abstractNum>
  <w:abstractNum w:abstractNumId="36">
    <w:nsid w:val="599158C5"/>
    <w:multiLevelType w:val="singleLevel"/>
    <w:tmpl w:val="599158C5"/>
    <w:lvl w:ilvl="0" w:tentative="0">
      <w:start w:val="1"/>
      <w:numFmt w:val="upperLetter"/>
      <w:suff w:val="nothing"/>
      <w:lvlText w:val="%1."/>
      <w:lvlJc w:val="left"/>
      <w:rPr>
        <w:rFonts w:cs="Times New Roman"/>
      </w:rPr>
    </w:lvl>
  </w:abstractNum>
  <w:abstractNum w:abstractNumId="37">
    <w:nsid w:val="599159C4"/>
    <w:multiLevelType w:val="singleLevel"/>
    <w:tmpl w:val="599159C4"/>
    <w:lvl w:ilvl="0" w:tentative="0">
      <w:start w:val="1"/>
      <w:numFmt w:val="upperLetter"/>
      <w:suff w:val="nothing"/>
      <w:lvlText w:val="%1."/>
      <w:lvlJc w:val="left"/>
      <w:rPr>
        <w:rFonts w:cs="Times New Roman"/>
      </w:rPr>
    </w:lvl>
  </w:abstractNum>
  <w:abstractNum w:abstractNumId="38">
    <w:nsid w:val="59915A40"/>
    <w:multiLevelType w:val="singleLevel"/>
    <w:tmpl w:val="59915A40"/>
    <w:lvl w:ilvl="0" w:tentative="0">
      <w:start w:val="1"/>
      <w:numFmt w:val="upperLetter"/>
      <w:suff w:val="nothing"/>
      <w:lvlText w:val="%1."/>
      <w:lvlJc w:val="left"/>
      <w:rPr>
        <w:rFonts w:cs="Times New Roman"/>
      </w:rPr>
    </w:lvl>
  </w:abstractNum>
  <w:abstractNum w:abstractNumId="39">
    <w:nsid w:val="59915BCD"/>
    <w:multiLevelType w:val="singleLevel"/>
    <w:tmpl w:val="59915BCD"/>
    <w:lvl w:ilvl="0" w:tentative="0">
      <w:start w:val="1"/>
      <w:numFmt w:val="upperLetter"/>
      <w:suff w:val="nothing"/>
      <w:lvlText w:val="%1."/>
      <w:lvlJc w:val="left"/>
      <w:rPr>
        <w:rFonts w:cs="Times New Roman"/>
      </w:rPr>
    </w:lvl>
  </w:abstractNum>
  <w:abstractNum w:abstractNumId="40">
    <w:nsid w:val="59915BDD"/>
    <w:multiLevelType w:val="singleLevel"/>
    <w:tmpl w:val="59915BDD"/>
    <w:lvl w:ilvl="0" w:tentative="0">
      <w:start w:val="1"/>
      <w:numFmt w:val="upperLetter"/>
      <w:suff w:val="nothing"/>
      <w:lvlText w:val="%1."/>
      <w:lvlJc w:val="left"/>
      <w:rPr>
        <w:rFonts w:cs="Times New Roman"/>
      </w:rPr>
    </w:lvl>
  </w:abstractNum>
  <w:abstractNum w:abstractNumId="41">
    <w:nsid w:val="59915C75"/>
    <w:multiLevelType w:val="singleLevel"/>
    <w:tmpl w:val="59915C75"/>
    <w:lvl w:ilvl="0" w:tentative="0">
      <w:start w:val="1"/>
      <w:numFmt w:val="upperLetter"/>
      <w:suff w:val="nothing"/>
      <w:lvlText w:val="%1."/>
      <w:lvlJc w:val="left"/>
      <w:rPr>
        <w:rFonts w:cs="Times New Roman"/>
      </w:rPr>
    </w:lvl>
  </w:abstractNum>
  <w:abstractNum w:abstractNumId="42">
    <w:nsid w:val="59915C85"/>
    <w:multiLevelType w:val="singleLevel"/>
    <w:tmpl w:val="59915C85"/>
    <w:lvl w:ilvl="0" w:tentative="0">
      <w:start w:val="1"/>
      <w:numFmt w:val="upperLetter"/>
      <w:suff w:val="nothing"/>
      <w:lvlText w:val="%1."/>
      <w:lvlJc w:val="left"/>
      <w:rPr>
        <w:rFonts w:cs="Times New Roman"/>
      </w:rPr>
    </w:lvl>
  </w:abstractNum>
  <w:abstractNum w:abstractNumId="43">
    <w:nsid w:val="59916093"/>
    <w:multiLevelType w:val="singleLevel"/>
    <w:tmpl w:val="59916093"/>
    <w:lvl w:ilvl="0" w:tentative="0">
      <w:start w:val="1"/>
      <w:numFmt w:val="upperLetter"/>
      <w:suff w:val="nothing"/>
      <w:lvlText w:val="%1."/>
      <w:lvlJc w:val="left"/>
      <w:rPr>
        <w:rFonts w:cs="Times New Roman"/>
      </w:rPr>
    </w:lvl>
  </w:abstractNum>
  <w:abstractNum w:abstractNumId="44">
    <w:nsid w:val="599160A3"/>
    <w:multiLevelType w:val="singleLevel"/>
    <w:tmpl w:val="599160A3"/>
    <w:lvl w:ilvl="0" w:tentative="0">
      <w:start w:val="1"/>
      <w:numFmt w:val="upperLetter"/>
      <w:suff w:val="nothing"/>
      <w:lvlText w:val="%1."/>
      <w:lvlJc w:val="left"/>
      <w:rPr>
        <w:rFonts w:cs="Times New Roman"/>
      </w:rPr>
    </w:lvl>
  </w:abstractNum>
  <w:abstractNum w:abstractNumId="45">
    <w:nsid w:val="599160B4"/>
    <w:multiLevelType w:val="singleLevel"/>
    <w:tmpl w:val="599160B4"/>
    <w:lvl w:ilvl="0" w:tentative="0">
      <w:start w:val="1"/>
      <w:numFmt w:val="upperLetter"/>
      <w:suff w:val="nothing"/>
      <w:lvlText w:val="%1."/>
      <w:lvlJc w:val="left"/>
      <w:rPr>
        <w:rFonts w:cs="Times New Roman"/>
      </w:rPr>
    </w:lvl>
  </w:abstractNum>
  <w:abstractNum w:abstractNumId="46">
    <w:nsid w:val="59994ED4"/>
    <w:multiLevelType w:val="singleLevel"/>
    <w:tmpl w:val="59994ED4"/>
    <w:lvl w:ilvl="0" w:tentative="0">
      <w:start w:val="2"/>
      <w:numFmt w:val="decimal"/>
      <w:suff w:val="nothing"/>
      <w:lvlText w:val="%1、"/>
      <w:lvlJc w:val="left"/>
      <w:rPr>
        <w:rFonts w:cs="Times New Roman"/>
      </w:rPr>
    </w:lvl>
  </w:abstractNum>
  <w:abstractNum w:abstractNumId="47">
    <w:nsid w:val="59995119"/>
    <w:multiLevelType w:val="singleLevel"/>
    <w:tmpl w:val="59995119"/>
    <w:lvl w:ilvl="0" w:tentative="0">
      <w:start w:val="6"/>
      <w:numFmt w:val="decimal"/>
      <w:suff w:val="nothing"/>
      <w:lvlText w:val="%1、"/>
      <w:lvlJc w:val="left"/>
      <w:rPr>
        <w:rFonts w:cs="Times New Roman"/>
      </w:rPr>
    </w:lvl>
  </w:abstractNum>
  <w:abstractNum w:abstractNumId="48">
    <w:nsid w:val="63A33E0D"/>
    <w:multiLevelType w:val="singleLevel"/>
    <w:tmpl w:val="63A33E0D"/>
    <w:lvl w:ilvl="0" w:tentative="0">
      <w:start w:val="1"/>
      <w:numFmt w:val="upperLetter"/>
      <w:suff w:val="nothing"/>
      <w:lvlText w:val="%1."/>
      <w:lvlJc w:val="left"/>
      <w:rPr>
        <w:rFonts w:cs="Times New Roman"/>
      </w:rPr>
    </w:lvl>
  </w:abstractNum>
  <w:abstractNum w:abstractNumId="49">
    <w:nsid w:val="64AFF57E"/>
    <w:multiLevelType w:val="singleLevel"/>
    <w:tmpl w:val="64AFF57E"/>
    <w:lvl w:ilvl="0" w:tentative="0">
      <w:start w:val="1"/>
      <w:numFmt w:val="upperLetter"/>
      <w:suff w:val="nothing"/>
      <w:lvlText w:val="%1."/>
      <w:lvlJc w:val="left"/>
      <w:rPr>
        <w:rFonts w:cs="Times New Roman"/>
      </w:rPr>
    </w:lvl>
  </w:abstractNum>
  <w:abstractNum w:abstractNumId="50">
    <w:nsid w:val="663F534A"/>
    <w:multiLevelType w:val="singleLevel"/>
    <w:tmpl w:val="663F534A"/>
    <w:lvl w:ilvl="0" w:tentative="0">
      <w:start w:val="1"/>
      <w:numFmt w:val="upperLetter"/>
      <w:suff w:val="nothing"/>
      <w:lvlText w:val="%1."/>
      <w:lvlJc w:val="left"/>
      <w:rPr>
        <w:rFonts w:cs="Times New Roman"/>
      </w:rPr>
    </w:lvl>
  </w:abstractNum>
  <w:abstractNum w:abstractNumId="51">
    <w:nsid w:val="741E6C09"/>
    <w:multiLevelType w:val="singleLevel"/>
    <w:tmpl w:val="741E6C09"/>
    <w:lvl w:ilvl="0" w:tentative="0">
      <w:start w:val="1"/>
      <w:numFmt w:val="upperLetter"/>
      <w:suff w:val="nothing"/>
      <w:lvlText w:val="%1."/>
      <w:lvlJc w:val="left"/>
      <w:rPr>
        <w:rFonts w:cs="Times New Roman"/>
      </w:rPr>
    </w:lvl>
  </w:abstractNum>
  <w:abstractNum w:abstractNumId="52">
    <w:nsid w:val="743FB3E7"/>
    <w:multiLevelType w:val="singleLevel"/>
    <w:tmpl w:val="743FB3E7"/>
    <w:lvl w:ilvl="0" w:tentative="0">
      <w:start w:val="1"/>
      <w:numFmt w:val="upperLetter"/>
      <w:suff w:val="nothing"/>
      <w:lvlText w:val="%1."/>
      <w:lvlJc w:val="left"/>
      <w:rPr>
        <w:rFonts w:cs="Times New Roman"/>
      </w:rPr>
    </w:lvl>
  </w:abstractNum>
  <w:abstractNum w:abstractNumId="53">
    <w:nsid w:val="796A50E2"/>
    <w:multiLevelType w:val="singleLevel"/>
    <w:tmpl w:val="796A50E2"/>
    <w:lvl w:ilvl="0" w:tentative="0">
      <w:start w:val="1"/>
      <w:numFmt w:val="upperLetter"/>
      <w:suff w:val="nothing"/>
      <w:lvlText w:val="%1."/>
      <w:lvlJc w:val="left"/>
      <w:rPr>
        <w:rFonts w:cs="Times New Roman"/>
      </w:rPr>
    </w:lvl>
  </w:abstractNum>
  <w:num w:numId="1">
    <w:abstractNumId w:val="52"/>
  </w:num>
  <w:num w:numId="2">
    <w:abstractNumId w:val="4"/>
  </w:num>
  <w:num w:numId="3">
    <w:abstractNumId w:val="29"/>
  </w:num>
  <w:num w:numId="4">
    <w:abstractNumId w:val="26"/>
  </w:num>
  <w:num w:numId="5">
    <w:abstractNumId w:val="22"/>
  </w:num>
  <w:num w:numId="6">
    <w:abstractNumId w:val="50"/>
  </w:num>
  <w:num w:numId="7">
    <w:abstractNumId w:val="34"/>
  </w:num>
  <w:num w:numId="8">
    <w:abstractNumId w:val="35"/>
  </w:num>
  <w:num w:numId="9">
    <w:abstractNumId w:val="21"/>
  </w:num>
  <w:num w:numId="10">
    <w:abstractNumId w:val="11"/>
  </w:num>
  <w:num w:numId="11">
    <w:abstractNumId w:val="1"/>
  </w:num>
  <w:num w:numId="12">
    <w:abstractNumId w:val="28"/>
  </w:num>
  <w:num w:numId="13">
    <w:abstractNumId w:val="30"/>
  </w:num>
  <w:num w:numId="14">
    <w:abstractNumId w:val="13"/>
  </w:num>
  <w:num w:numId="15">
    <w:abstractNumId w:val="25"/>
  </w:num>
  <w:num w:numId="16">
    <w:abstractNumId w:val="3"/>
  </w:num>
  <w:num w:numId="17">
    <w:abstractNumId w:val="6"/>
  </w:num>
  <w:num w:numId="18">
    <w:abstractNumId w:val="18"/>
  </w:num>
  <w:num w:numId="19">
    <w:abstractNumId w:val="2"/>
  </w:num>
  <w:num w:numId="20">
    <w:abstractNumId w:val="16"/>
  </w:num>
  <w:num w:numId="21">
    <w:abstractNumId w:val="27"/>
  </w:num>
  <w:num w:numId="22">
    <w:abstractNumId w:val="17"/>
  </w:num>
  <w:num w:numId="23">
    <w:abstractNumId w:val="5"/>
  </w:num>
  <w:num w:numId="24">
    <w:abstractNumId w:val="33"/>
  </w:num>
  <w:num w:numId="25">
    <w:abstractNumId w:val="51"/>
  </w:num>
  <w:num w:numId="26">
    <w:abstractNumId w:val="48"/>
  </w:num>
  <w:num w:numId="27">
    <w:abstractNumId w:val="9"/>
  </w:num>
  <w:num w:numId="28">
    <w:abstractNumId w:val="20"/>
  </w:num>
  <w:num w:numId="29">
    <w:abstractNumId w:val="19"/>
  </w:num>
  <w:num w:numId="30">
    <w:abstractNumId w:val="32"/>
  </w:num>
  <w:num w:numId="31">
    <w:abstractNumId w:val="23"/>
  </w:num>
  <w:num w:numId="32">
    <w:abstractNumId w:val="24"/>
  </w:num>
  <w:num w:numId="33">
    <w:abstractNumId w:val="7"/>
  </w:num>
  <w:num w:numId="34">
    <w:abstractNumId w:val="31"/>
  </w:num>
  <w:num w:numId="35">
    <w:abstractNumId w:val="15"/>
  </w:num>
  <w:num w:numId="36">
    <w:abstractNumId w:val="0"/>
  </w:num>
  <w:num w:numId="37">
    <w:abstractNumId w:val="45"/>
  </w:num>
  <w:num w:numId="38">
    <w:abstractNumId w:val="8"/>
  </w:num>
  <w:num w:numId="39">
    <w:abstractNumId w:val="38"/>
  </w:num>
  <w:num w:numId="40">
    <w:abstractNumId w:val="49"/>
  </w:num>
  <w:num w:numId="41">
    <w:abstractNumId w:val="37"/>
  </w:num>
  <w:num w:numId="42">
    <w:abstractNumId w:val="43"/>
  </w:num>
  <w:num w:numId="43">
    <w:abstractNumId w:val="36"/>
  </w:num>
  <w:num w:numId="44">
    <w:abstractNumId w:val="42"/>
  </w:num>
  <w:num w:numId="45">
    <w:abstractNumId w:val="53"/>
  </w:num>
  <w:num w:numId="46">
    <w:abstractNumId w:val="12"/>
  </w:num>
  <w:num w:numId="47">
    <w:abstractNumId w:val="44"/>
  </w:num>
  <w:num w:numId="48">
    <w:abstractNumId w:val="41"/>
  </w:num>
  <w:num w:numId="49">
    <w:abstractNumId w:val="39"/>
  </w:num>
  <w:num w:numId="50">
    <w:abstractNumId w:val="14"/>
  </w:num>
  <w:num w:numId="51">
    <w:abstractNumId w:val="40"/>
  </w:num>
  <w:num w:numId="52">
    <w:abstractNumId w:val="10"/>
  </w:num>
  <w:num w:numId="53">
    <w:abstractNumId w:val="46"/>
    <w:lvlOverride w:ilvl="0">
      <w:startOverride w:val="2"/>
    </w:lvlOverride>
  </w:num>
  <w:num w:numId="54">
    <w:abstractNumId w:val="47"/>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1D50"/>
    <w:rsid w:val="0002212D"/>
    <w:rsid w:val="00036BDD"/>
    <w:rsid w:val="00042C20"/>
    <w:rsid w:val="00051D50"/>
    <w:rsid w:val="000A2D1D"/>
    <w:rsid w:val="000B23B4"/>
    <w:rsid w:val="000E572A"/>
    <w:rsid w:val="001062AD"/>
    <w:rsid w:val="001077D9"/>
    <w:rsid w:val="001145AA"/>
    <w:rsid w:val="00153DD3"/>
    <w:rsid w:val="001615B1"/>
    <w:rsid w:val="00171D9F"/>
    <w:rsid w:val="001733AD"/>
    <w:rsid w:val="001865E8"/>
    <w:rsid w:val="00190D48"/>
    <w:rsid w:val="002227E7"/>
    <w:rsid w:val="00261438"/>
    <w:rsid w:val="00275432"/>
    <w:rsid w:val="002920C0"/>
    <w:rsid w:val="002E3F8F"/>
    <w:rsid w:val="003008FD"/>
    <w:rsid w:val="00356255"/>
    <w:rsid w:val="003F7DE1"/>
    <w:rsid w:val="00430F8D"/>
    <w:rsid w:val="00443C74"/>
    <w:rsid w:val="00445340"/>
    <w:rsid w:val="004B4AC6"/>
    <w:rsid w:val="004F3C24"/>
    <w:rsid w:val="00565016"/>
    <w:rsid w:val="0057536B"/>
    <w:rsid w:val="005904F2"/>
    <w:rsid w:val="005B7402"/>
    <w:rsid w:val="005C4748"/>
    <w:rsid w:val="005D2FA5"/>
    <w:rsid w:val="0060056A"/>
    <w:rsid w:val="00612C16"/>
    <w:rsid w:val="00675760"/>
    <w:rsid w:val="00716F7A"/>
    <w:rsid w:val="00724118"/>
    <w:rsid w:val="00741126"/>
    <w:rsid w:val="00773A07"/>
    <w:rsid w:val="007B793C"/>
    <w:rsid w:val="007C0B5D"/>
    <w:rsid w:val="007E3712"/>
    <w:rsid w:val="007F5AD2"/>
    <w:rsid w:val="00824240"/>
    <w:rsid w:val="00866D02"/>
    <w:rsid w:val="008E5A35"/>
    <w:rsid w:val="00962C65"/>
    <w:rsid w:val="00983714"/>
    <w:rsid w:val="00987C21"/>
    <w:rsid w:val="009D66D0"/>
    <w:rsid w:val="00A12A57"/>
    <w:rsid w:val="00A47756"/>
    <w:rsid w:val="00B15535"/>
    <w:rsid w:val="00B9254A"/>
    <w:rsid w:val="00BA6322"/>
    <w:rsid w:val="00BC6736"/>
    <w:rsid w:val="00BF0988"/>
    <w:rsid w:val="00C1417E"/>
    <w:rsid w:val="00C2308B"/>
    <w:rsid w:val="00CC49FA"/>
    <w:rsid w:val="00CC5BF2"/>
    <w:rsid w:val="00D4065E"/>
    <w:rsid w:val="00D46D73"/>
    <w:rsid w:val="00DA5A47"/>
    <w:rsid w:val="00DD4D11"/>
    <w:rsid w:val="00DF1129"/>
    <w:rsid w:val="00E72B34"/>
    <w:rsid w:val="00E85EC9"/>
    <w:rsid w:val="00EA2A07"/>
    <w:rsid w:val="00F26EDF"/>
    <w:rsid w:val="00FC3150"/>
    <w:rsid w:val="4AB6218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nhideWhenUsed="0" w:uiPriority="99" w:semiHidden="0" w:name="header"/>
    <w:lsdException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nhideWhenUsed="0"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Body Text"/>
    <w:basedOn w:val="1"/>
    <w:link w:val="10"/>
    <w:semiHidden/>
    <w:uiPriority w:val="99"/>
    <w:pPr>
      <w:spacing w:after="120"/>
    </w:pPr>
  </w:style>
  <w:style w:type="paragraph" w:styleId="3">
    <w:name w:val="footer"/>
    <w:basedOn w:val="1"/>
    <w:link w:val="14"/>
    <w:uiPriority w:val="99"/>
    <w:pPr>
      <w:tabs>
        <w:tab w:val="center" w:pos="4153"/>
        <w:tab w:val="right" w:pos="8306"/>
      </w:tabs>
      <w:snapToGrid w:val="0"/>
      <w:jc w:val="left"/>
    </w:pPr>
    <w:rPr>
      <w:sz w:val="18"/>
      <w:szCs w:val="18"/>
    </w:rPr>
  </w:style>
  <w:style w:type="paragraph" w:styleId="4">
    <w:name w:val="header"/>
    <w:basedOn w:val="1"/>
    <w:link w:val="13"/>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spacing w:before="100" w:beforeAutospacing="1" w:after="100" w:afterAutospacing="1"/>
      <w:jc w:val="left"/>
    </w:pPr>
    <w:rPr>
      <w:rFonts w:ascii="宋体" w:hAnsi="宋体"/>
      <w:kern w:val="0"/>
      <w:sz w:val="24"/>
      <w:szCs w:val="24"/>
    </w:rPr>
  </w:style>
  <w:style w:type="paragraph" w:styleId="6">
    <w:name w:val="Body Text First Indent"/>
    <w:basedOn w:val="2"/>
    <w:link w:val="9"/>
    <w:uiPriority w:val="99"/>
    <w:pPr>
      <w:ind w:firstLine="420" w:firstLineChars="100"/>
    </w:pPr>
    <w:rPr>
      <w:kern w:val="0"/>
      <w:sz w:val="24"/>
      <w:szCs w:val="24"/>
    </w:rPr>
  </w:style>
  <w:style w:type="character" w:customStyle="1" w:styleId="9">
    <w:name w:val="正文首行缩进 Char"/>
    <w:link w:val="6"/>
    <w:qFormat/>
    <w:locked/>
    <w:uiPriority w:val="99"/>
    <w:rPr>
      <w:sz w:val="24"/>
    </w:rPr>
  </w:style>
  <w:style w:type="character" w:customStyle="1" w:styleId="10">
    <w:name w:val="正文文本 Char"/>
    <w:link w:val="2"/>
    <w:semiHidden/>
    <w:locked/>
    <w:uiPriority w:val="99"/>
    <w:rPr>
      <w:rFonts w:cs="Times New Roman"/>
    </w:rPr>
  </w:style>
  <w:style w:type="character" w:customStyle="1" w:styleId="11">
    <w:name w:val="Body Text First Indent Char1"/>
    <w:semiHidden/>
    <w:uiPriority w:val="99"/>
    <w:rPr>
      <w:rFonts w:cs="Times New Roman"/>
    </w:rPr>
  </w:style>
  <w:style w:type="character" w:customStyle="1" w:styleId="12">
    <w:name w:val="正文首行缩进 Char1"/>
    <w:semiHidden/>
    <w:qFormat/>
    <w:uiPriority w:val="99"/>
    <w:rPr>
      <w:rFonts w:cs="Times New Roman"/>
    </w:rPr>
  </w:style>
  <w:style w:type="character" w:customStyle="1" w:styleId="13">
    <w:name w:val="页眉 Char"/>
    <w:link w:val="4"/>
    <w:locked/>
    <w:uiPriority w:val="99"/>
    <w:rPr>
      <w:rFonts w:cs="Times New Roman"/>
      <w:sz w:val="18"/>
      <w:szCs w:val="18"/>
    </w:rPr>
  </w:style>
  <w:style w:type="character" w:customStyle="1" w:styleId="14">
    <w:name w:val="页脚 Char"/>
    <w:link w:val="3"/>
    <w:locked/>
    <w:uiPriority w:val="99"/>
    <w:rPr>
      <w:rFonts w:cs="Times New Roman"/>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19</Pages>
  <Words>2576</Words>
  <Characters>14688</Characters>
  <Lines>122</Lines>
  <Paragraphs>34</Paragraphs>
  <TotalTime>8</TotalTime>
  <ScaleCrop>false</ScaleCrop>
  <LinksUpToDate>false</LinksUpToDate>
  <CharactersWithSpaces>17230</CharactersWithSpaces>
  <Application>WPS Office_11.1.0.10463_F1E327BC-269C-435d-A152-05C5408002CA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2019-08-07T08:14:00Z</dcterms:created>
  <dc:creator>赵婷</dc:creator>
  <cp:lastModifiedBy>萝卜</cp:lastModifiedBy>
  <dcterms:modified xsi:type="dcterms:W3CDTF">2021-04-29T01:51:01Z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838F53F2DFD24903AF5177009691EF28</vt:lpwstr>
  </property>
</Properties>
</file>