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宋体" w:eastAsia="黑体"/>
          <w:sz w:val="44"/>
          <w:szCs w:val="44"/>
        </w:rPr>
      </w:pPr>
      <w:bookmarkStart w:id="0" w:name="_GoBack"/>
      <w:bookmarkEnd w:id="0"/>
      <w:r>
        <w:rPr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0">
                <wp:simplePos x="0" y="0"/>
                <wp:positionH relativeFrom="column">
                  <wp:posOffset>-685800</wp:posOffset>
                </wp:positionH>
                <wp:positionV relativeFrom="paragraph">
                  <wp:posOffset>-198120</wp:posOffset>
                </wp:positionV>
                <wp:extent cx="848995" cy="8519160"/>
                <wp:effectExtent l="4445" t="4445" r="22860" b="10795"/>
                <wp:wrapSquare wrapText="right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8995" cy="8519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420" w:firstLineChars="200"/>
                              <w:rPr>
                                <w:rFonts w:hint="eastAsia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湖南师范大学</w:t>
                            </w:r>
                            <w:r>
                              <w:rPr>
                                <w:rFonts w:hint="eastAsia"/>
                              </w:rPr>
                              <w:t xml:space="preserve">试卷         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年</w:t>
                            </w:r>
                            <w:r>
                              <w:rPr>
                                <w:rFonts w:hint="eastAsia"/>
                              </w:rPr>
                              <w:t>级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专业</w:t>
                            </w:r>
                            <w:r>
                              <w:rPr>
                                <w:rFonts w:hint="eastAsia"/>
                                <w:u w:val="single"/>
                                <w:lang w:val="en-US" w:eastAsia="zh-CN"/>
                              </w:rPr>
                              <w:t xml:space="preserve">                 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 xml:space="preserve">   学号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姓名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</w:p>
                          <w:p/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……………</w:t>
                            </w:r>
                            <w:r>
                              <w:rPr>
                                <w:rFonts w:hint="eastAsia"/>
                              </w:rPr>
                              <w:t>.</w:t>
                            </w:r>
                            <w:r>
                              <w:t>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.密</w:t>
                            </w:r>
                            <w:r>
                              <w:t>………………………………………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封</w:t>
                            </w:r>
                            <w:r>
                              <w:t>………………</w:t>
                            </w:r>
                            <w:r>
                              <w:rPr>
                                <w:rFonts w:hint="eastAsia"/>
                              </w:rPr>
                              <w:t>..</w:t>
                            </w:r>
                            <w:r>
                              <w:t>…………………</w:t>
                            </w:r>
                            <w:r>
                              <w:rPr>
                                <w:rFonts w:hint="eastAsia"/>
                              </w:rPr>
                              <w:t>..线</w:t>
                            </w:r>
                            <w:r>
                              <w:t>……………………………………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..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4pt;margin-top:-15.6pt;height:670.8pt;width:66.85pt;mso-wrap-distance-bottom:0pt;mso-wrap-distance-left:9pt;mso-wrap-distance-right:9pt;mso-wrap-distance-top:0pt;z-index:-251657216;mso-width-relative:page;mso-height-relative:page;" fillcolor="#FFFFFF" filled="t" stroked="t" coordsize="21600,21600" o:allowoverlap="f" o:gfxdata="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20KmK9kAAAAMAQAADwAAAAAAAAABACAAAAAiAAAAZHJzL2Rvd25yZXYueG1sUEsB&#10;AhQAFAAAAAgAh07iQGEEdEv0AQAA9AMAAA4AAAAAAAAAAQAgAAAAKAEAAGRycy9lMm9Eb2MueG1s&#10;UEsFBgAAAAAGAAYAWQEAAI4FAAAAAA==&#10;">
                <v:fill on="t" focussize="0,0"/>
                <v:stroke weight="0pt" color="#FFFFFF" joinstyle="miter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ind w:firstLine="420" w:firstLineChars="200"/>
                        <w:rPr>
                          <w:rFonts w:hint="eastAsia"/>
                          <w:u w:val="single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湖南师范大学</w:t>
                      </w:r>
                      <w:r>
                        <w:rPr>
                          <w:rFonts w:hint="eastAsia"/>
                        </w:rPr>
                        <w:t xml:space="preserve">试卷          </w:t>
                      </w:r>
                      <w:r>
                        <w:rPr>
                          <w:rFonts w:hint="eastAsia"/>
                          <w:lang w:eastAsia="zh-CN"/>
                        </w:rPr>
                        <w:t>年</w:t>
                      </w:r>
                      <w:r>
                        <w:rPr>
                          <w:rFonts w:hint="eastAsia"/>
                        </w:rPr>
                        <w:t>级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  <w:r>
                        <w:rPr>
                          <w:rFonts w:hint="eastAsia"/>
                          <w:lang w:eastAsia="zh-CN"/>
                        </w:rPr>
                        <w:t>专业</w:t>
                      </w:r>
                      <w:r>
                        <w:rPr>
                          <w:rFonts w:hint="eastAsia"/>
                          <w:u w:val="single"/>
                          <w:lang w:val="en-US" w:eastAsia="zh-CN"/>
                        </w:rPr>
                        <w:t xml:space="preserve">                 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/>
                        </w:rPr>
                        <w:t xml:space="preserve">   学号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</w:rPr>
                        <w:t xml:space="preserve">  姓名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</w:p>
                    <w:p/>
                    <w:p>
                      <w:pPr>
                        <w:rPr>
                          <w:rFonts w:hint="eastAsia"/>
                        </w:rPr>
                      </w:pPr>
                      <w:r>
                        <w:t>……………</w:t>
                      </w:r>
                      <w:r>
                        <w:rPr>
                          <w:rFonts w:hint="eastAsia"/>
                        </w:rPr>
                        <w:t>.</w:t>
                      </w:r>
                      <w:r>
                        <w:t>……………………………</w:t>
                      </w:r>
                      <w:r>
                        <w:rPr>
                          <w:rFonts w:hint="eastAsia"/>
                        </w:rPr>
                        <w:t>.密</w:t>
                      </w:r>
                      <w:r>
                        <w:t>………………………………………</w:t>
                      </w:r>
                      <w:r>
                        <w:rPr>
                          <w:rFonts w:hint="eastAsia"/>
                        </w:rPr>
                        <w:t>封</w:t>
                      </w:r>
                      <w:r>
                        <w:t>………………</w:t>
                      </w:r>
                      <w:r>
                        <w:rPr>
                          <w:rFonts w:hint="eastAsia"/>
                        </w:rPr>
                        <w:t>..</w:t>
                      </w:r>
                      <w:r>
                        <w:t>…………………</w:t>
                      </w:r>
                      <w:r>
                        <w:rPr>
                          <w:rFonts w:hint="eastAsia"/>
                        </w:rPr>
                        <w:t>..线</w:t>
                      </w:r>
                      <w:r>
                        <w:t>……………………………………</w:t>
                      </w:r>
                      <w:r>
                        <w:rPr>
                          <w:rFonts w:hint="eastAsia"/>
                        </w:rPr>
                        <w:t>..</w:t>
                      </w:r>
                    </w:p>
                  </w:txbxContent>
                </v:textbox>
                <w10:wrap type="square" side="right"/>
              </v:shape>
            </w:pict>
          </mc:Fallback>
        </mc:AlternateContent>
      </w:r>
      <w:r>
        <w:rPr>
          <w:rFonts w:hint="eastAsia" w:ascii="新宋体" w:hAnsi="新宋体" w:eastAsia="新宋体"/>
          <w:b/>
          <w:sz w:val="44"/>
          <w:szCs w:val="44"/>
          <w:lang w:eastAsia="zh-CN"/>
        </w:rPr>
        <w:t>湖南师范大学</w:t>
      </w:r>
    </w:p>
    <w:p>
      <w:pPr>
        <w:ind w:left="540"/>
        <w:jc w:val="center"/>
        <w:rPr>
          <w:rFonts w:hint="eastAsia" w:ascii="黑体" w:hAnsi="宋体" w:eastAsia="黑体"/>
          <w:sz w:val="30"/>
        </w:rPr>
      </w:pPr>
      <w:r>
        <w:rPr>
          <w:rFonts w:hint="eastAsia" w:ascii="黑体" w:hAnsi="宋体" w:eastAsia="黑体"/>
          <w:sz w:val="36"/>
        </w:rPr>
        <w:t xml:space="preserve">《 </w:t>
      </w:r>
      <w:r>
        <w:rPr>
          <w:rFonts w:hint="eastAsia" w:ascii="黑体" w:hAnsi="宋体" w:eastAsia="黑体"/>
          <w:sz w:val="36"/>
          <w:lang w:eastAsia="zh-CN"/>
        </w:rPr>
        <w:t>古代文论</w:t>
      </w:r>
      <w:r>
        <w:rPr>
          <w:rFonts w:hint="eastAsia" w:ascii="黑体" w:hAnsi="宋体" w:eastAsia="黑体"/>
          <w:sz w:val="36"/>
        </w:rPr>
        <w:t xml:space="preserve"> 》课程考试试卷</w:t>
      </w:r>
    </w:p>
    <w:p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注意：1、本试卷共  </w:t>
      </w:r>
      <w:r>
        <w:rPr>
          <w:rFonts w:hint="eastAsia" w:ascii="宋体" w:hAnsi="宋体"/>
          <w:lang w:val="en-US" w:eastAsia="zh-CN"/>
        </w:rPr>
        <w:t>2</w:t>
      </w:r>
      <w:r>
        <w:rPr>
          <w:rFonts w:hint="eastAsia" w:ascii="宋体" w:hAnsi="宋体"/>
        </w:rPr>
        <w:t xml:space="preserve">  页；  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 xml:space="preserve"> 2、考试时间</w:t>
      </w:r>
      <w:r>
        <w:rPr>
          <w:rFonts w:ascii="宋体" w:hAnsi="宋体"/>
        </w:rPr>
        <w:t>:</w:t>
      </w:r>
      <w:r>
        <w:rPr>
          <w:rFonts w:hint="eastAsia" w:ascii="宋体" w:hAnsi="宋体"/>
        </w:rPr>
        <w:t xml:space="preserve"> 90 分钟</w:t>
      </w:r>
    </w:p>
    <w:p>
      <w:pPr>
        <w:autoSpaceDE w:val="0"/>
        <w:autoSpaceDN w:val="0"/>
        <w:adjustRightInd w:val="0"/>
        <w:spacing w:line="300" w:lineRule="auto"/>
        <w:ind w:firstLine="630" w:firstLineChars="3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3、姓名、学号必须写在指定地方  </w:t>
      </w:r>
    </w:p>
    <w:p>
      <w:pPr>
        <w:ind w:firstLine="315" w:firstLineChars="150"/>
        <w:rPr>
          <w:rFonts w:hint="eastAsia"/>
        </w:rPr>
      </w:pPr>
      <w:r>
        <w:rPr>
          <w:rFonts w:hint="eastAsia" w:cs="宋体"/>
        </w:rPr>
        <w:t xml:space="preserve">任课教师：   </w:t>
      </w:r>
      <w:r>
        <w:t xml:space="preserve"> </w:t>
      </w:r>
      <w:r>
        <w:rPr>
          <w:rFonts w:hint="eastAsia"/>
        </w:rPr>
        <w:t xml:space="preserve">      </w:t>
      </w:r>
      <w:r>
        <w:t xml:space="preserve"> </w:t>
      </w:r>
      <w:r>
        <w:rPr>
          <w:rFonts w:hint="eastAsia"/>
        </w:rPr>
        <w:t>考试方式：</w:t>
      </w:r>
      <w:r>
        <w:rPr>
          <w:rFonts w:hint="eastAsia"/>
          <w:u w:val="single"/>
        </w:rPr>
        <w:t>闭卷</w:t>
      </w:r>
      <w:r>
        <w:t xml:space="preserve">  </w:t>
      </w:r>
      <w:r>
        <w:rPr>
          <w:rFonts w:hint="eastAsia"/>
        </w:rPr>
        <w:t xml:space="preserve">  </w:t>
      </w:r>
      <w:r>
        <w:rPr>
          <w:rFonts w:hint="eastAsia" w:cs="宋体"/>
        </w:rPr>
        <w:t>授课年级或班级：</w:t>
      </w:r>
    </w:p>
    <w:tbl>
      <w:tblPr>
        <w:tblStyle w:val="4"/>
        <w:tblpPr w:leftFromText="180" w:rightFromText="180" w:vertAnchor="page" w:horzAnchor="page" w:tblpX="2209" w:tblpY="4283"/>
        <w:tblW w:w="6933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669"/>
        <w:gridCol w:w="669"/>
        <w:gridCol w:w="670"/>
        <w:gridCol w:w="669"/>
        <w:gridCol w:w="669"/>
        <w:gridCol w:w="670"/>
        <w:gridCol w:w="669"/>
        <w:gridCol w:w="670"/>
        <w:gridCol w:w="7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题号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六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七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八</w:t>
            </w:r>
          </w:p>
        </w:tc>
        <w:tc>
          <w:tcPr>
            <w:tcW w:w="7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总分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得分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</w:tbl>
    <w:p>
      <w:r>
        <w:rPr>
          <w:rFonts w:hint="eastAsia"/>
        </w:rPr>
        <w:t xml:space="preserve">  </w:t>
      </w:r>
    </w:p>
    <w:p>
      <w:pPr>
        <w:rPr>
          <w:rFonts w:hint="eastAsia"/>
        </w:rPr>
      </w:pPr>
    </w:p>
    <w:p>
      <w:pPr>
        <w:rPr>
          <w:rFonts w:hint="eastAsia" w:ascii="黑体" w:eastAsia="黑体"/>
          <w:b/>
        </w:rPr>
      </w:pPr>
    </w:p>
    <w:p>
      <w:pPr>
        <w:rPr>
          <w:rFonts w:hint="eastAsia" w:ascii="黑体" w:eastAsia="黑体"/>
          <w:b/>
        </w:rPr>
      </w:pPr>
    </w:p>
    <w:tbl>
      <w:tblPr>
        <w:tblStyle w:val="4"/>
        <w:tblpPr w:leftFromText="180" w:rightFromText="180" w:vertAnchor="text" w:horzAnchor="page" w:tblpX="2275" w:tblpY="77"/>
        <w:tblOverlap w:val="never"/>
        <w:tblW w:w="262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168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945" w:type="dxa"/>
            <w:vAlign w:val="center"/>
          </w:tcPr>
          <w:p>
            <w:pPr>
              <w:ind w:hanging="1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阅卷人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autoSpaceDE w:val="0"/>
        <w:autoSpaceDN w:val="0"/>
        <w:adjustRightInd w:val="0"/>
        <w:spacing w:line="300" w:lineRule="auto"/>
        <w:rPr>
          <w:rFonts w:hint="eastAsia"/>
          <w:b/>
          <w:kern w:val="0"/>
          <w:szCs w:val="21"/>
        </w:rPr>
      </w:pP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</w:rPr>
      </w:pPr>
      <w:r>
        <w:rPr>
          <w:rFonts w:hint="eastAsia"/>
          <w:b/>
          <w:bCs/>
        </w:rPr>
        <w:t>填空题 (每空 1 分，共 20 分)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教材指出：孟子的“以意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</w:rPr>
        <w:t xml:space="preserve"> ”和“知人</w:t>
      </w:r>
      <w:r>
        <w:rPr>
          <w:rFonts w:hint="eastAsia"/>
          <w:u w:val="single"/>
          <w:lang w:val="en-US" w:eastAsia="zh-CN"/>
        </w:rPr>
        <w:t xml:space="preserve"> 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” 确实是比较科学的文学批评方法。 </w:t>
      </w:r>
      <w:r>
        <w:rPr>
          <w:rFonts w:hint="eastAsia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教材认为， 《毛诗大序》 的主要思想之一在于： 它认为诗歌创作要合乎 “发 乎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</w:rPr>
        <w:t xml:space="preserve"> ，止乎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</w:rPr>
        <w:t xml:space="preserve"> ”的原则，而在揭露和批评黑暗方面，又 必须“主文而谲谏” ，明显地反映了儒家文艺思想保守性的一面。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汉代王充自述他写作《论衡》的主旨是“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</w:rPr>
        <w:t xml:space="preserve"> ” 。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曹丕《</w:t>
      </w:r>
      <w:r>
        <w:rPr>
          <w:rFonts w:hint="eastAsia"/>
          <w:u w:val="single"/>
          <w:lang w:val="en-US" w:eastAsia="zh-CN"/>
        </w:rPr>
        <w:t xml:space="preserve">              </w:t>
      </w:r>
      <w:r>
        <w:rPr>
          <w:rFonts w:hint="eastAsia"/>
        </w:rPr>
        <w:t xml:space="preserve">》特别强调作家个性对文学创作的重要意 义，提出了“文以气为主”的著名论断，对后代文学理论批评产生了很大影响。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陆机《文赋》中提出了“诗 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</w:rPr>
        <w:t xml:space="preserve"> 而绮靡，赋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</w:rPr>
        <w:t xml:space="preserve"> 而 浏亮”的要求。可以看出作者对文学艺术的两个重要特征：感情与形象有了深刻 的认识。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韩愈在《答李翊书》中，继承了孟子的“养气”说，提出了“</w:t>
      </w:r>
      <w:r>
        <w:rPr>
          <w:rFonts w:hint="eastAsia"/>
          <w:u w:val="single"/>
          <w:lang w:val="en-US" w:eastAsia="zh-CN"/>
        </w:rPr>
        <w:t xml:space="preserve">             </w:t>
      </w:r>
      <w:r>
        <w:rPr>
          <w:rFonts w:hint="eastAsia"/>
        </w:rPr>
        <w:t xml:space="preserve"> ”之论，在《送孟东野序》中则发展了司马迁的“发愤著书”的 思想，提出了“ 不平则鸣 ”论．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教材指出：李清照在《论词》中，除了提出词“别是一家”之说外，还 对词的创作提出了一些别的审美要求，主要有：一、勿“</w:t>
      </w:r>
      <w:r>
        <w:rPr>
          <w:rFonts w:hint="eastAsia"/>
          <w:u w:val="single"/>
          <w:lang w:val="en-US" w:eastAsia="zh-CN"/>
        </w:rPr>
        <w:t xml:space="preserve">           </w:t>
      </w:r>
      <w:r>
        <w:rPr>
          <w:rFonts w:hint="eastAsia"/>
        </w:rPr>
        <w:t>” ，二、要 有“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</w:rPr>
        <w:t xml:space="preserve"> ” ，三、讲“故实” ，四、格调要高雅典重。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教材认为，张炎在《词源》里，首先确立了“雅正”的审美标准；其次， 他又提出了 “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</w:rPr>
        <w:t>” 的审美要求， 第三， 他还提出了 “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</w:rPr>
        <w:t xml:space="preserve"> ” 的审美要求。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明代公安派作家袁宏道继承了思想家李贽提出的“童心”说理论，提出 了“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</w:rPr>
        <w:t xml:space="preserve"> ， </w:t>
      </w:r>
      <w:r>
        <w:rPr>
          <w:rFonts w:hint="eastAsia"/>
          <w:u w:val="single"/>
          <w:lang w:val="en-US" w:eastAsia="zh-CN"/>
        </w:rPr>
        <w:t xml:space="preserve">             </w:t>
      </w:r>
      <w:r>
        <w:rPr>
          <w:rFonts w:hint="eastAsia"/>
        </w:rPr>
        <w:t xml:space="preserve"> ”的口号，力图纠正前后“七子”派的复古模拟 之风．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教材指出， 清代诗论家叶燮把创作分成 “ </w:t>
      </w:r>
      <w:r>
        <w:rPr>
          <w:rFonts w:hint="eastAsia"/>
          <w:u w:val="single"/>
          <w:lang w:val="en-US" w:eastAsia="zh-CN"/>
        </w:rPr>
        <w:t xml:space="preserve">           </w:t>
      </w:r>
      <w:r>
        <w:rPr>
          <w:rFonts w:hint="eastAsia"/>
        </w:rPr>
        <w:t xml:space="preserve"> 者” 即创作客体与 “ </w:t>
      </w:r>
      <w:r>
        <w:rPr>
          <w:rFonts w:hint="eastAsia"/>
          <w:u w:val="single"/>
          <w:lang w:val="en-US" w:eastAsia="zh-CN"/>
        </w:rPr>
        <w:t xml:space="preserve">           </w:t>
      </w:r>
      <w:r>
        <w:rPr>
          <w:rFonts w:hint="eastAsia"/>
        </w:rPr>
        <w:t xml:space="preserve"> 者”即创作主体两个方面．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在文学方面，梁启超积极提倡“诗界革命” 、 “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</w:rPr>
        <w:t xml:space="preserve"> ”和“ 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</w:rPr>
        <w:t xml:space="preserve"> 革命” 。</w:t>
      </w:r>
    </w:p>
    <w:p>
      <w:pPr>
        <w:numPr>
          <w:ilvl w:val="0"/>
          <w:numId w:val="0"/>
        </w:numPr>
        <w:ind w:leftChars="0"/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b/>
          <w:bCs/>
          <w:lang w:eastAsia="zh-CN"/>
        </w:rPr>
        <w:t>二、</w:t>
      </w:r>
      <w:r>
        <w:rPr>
          <w:rFonts w:hint="eastAsia"/>
          <w:b/>
          <w:bCs/>
        </w:rPr>
        <w:t>名词解释题(每小题 5 分，共 10 分)</w:t>
      </w:r>
      <w:r>
        <w:rPr>
          <w:rFonts w:hint="eastAsia"/>
        </w:rPr>
        <w:t xml:space="preserve">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1、</w:t>
      </w:r>
      <w:r>
        <w:rPr>
          <w:rFonts w:hint="eastAsia"/>
        </w:rPr>
        <w:t>(曹丕的)“文以气为主”说</w:t>
      </w:r>
    </w:p>
    <w:p>
      <w:pPr>
        <w:numPr>
          <w:ilvl w:val="0"/>
          <w:numId w:val="0"/>
        </w:numPr>
        <w:rPr>
          <w:rFonts w:hint="eastAsia" w:eastAsia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2、</w:t>
      </w:r>
      <w:r>
        <w:rPr>
          <w:rFonts w:hint="eastAsia"/>
        </w:rPr>
        <w:t xml:space="preserve">(李清照的)词“别是一家”说 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三、</w:t>
      </w:r>
      <w:r>
        <w:rPr>
          <w:rFonts w:hint="eastAsia"/>
          <w:b/>
          <w:bCs/>
        </w:rPr>
        <w:t xml:space="preserve">单项选择题(每小题 2 分，共 10 分)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“子曰： ‘诗三百，一言以蔽之，曰：(</w:t>
      </w:r>
      <w:r>
        <w:rPr>
          <w:rFonts w:hint="eastAsia"/>
          <w:b w:val="0"/>
          <w:bCs w:val="0"/>
          <w:lang w:val="en-US" w:eastAsia="zh-CN"/>
        </w:rPr>
        <w:t xml:space="preserve">    </w:t>
      </w:r>
      <w:r>
        <w:rPr>
          <w:rFonts w:hint="eastAsia"/>
          <w:b w:val="0"/>
          <w:bCs w:val="0"/>
        </w:rPr>
        <w:t xml:space="preserve"> )。 ”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“乐而不淫，衰而不伤” B． “辞达而已矣” 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“可以兴，观、群、怨” D． “思无邪”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陆机《文赋》说； “其会意也尚巧，其遗言也贵妍。 ”教材认为，这里的 “会意”是指(</w:t>
      </w:r>
      <w:r>
        <w:rPr>
          <w:rFonts w:hint="eastAsia"/>
          <w:b w:val="0"/>
          <w:bCs w:val="0"/>
          <w:lang w:val="en-US" w:eastAsia="zh-CN"/>
        </w:rPr>
        <w:t xml:space="preserve">     </w:t>
      </w:r>
      <w:r>
        <w:rPr>
          <w:rFonts w:hint="eastAsia"/>
          <w:b w:val="0"/>
          <w:bCs w:val="0"/>
        </w:rPr>
        <w:t xml:space="preserve">)． 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具体构思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 xml:space="preserve"> B. 文章立意 </w:t>
      </w:r>
      <w:r>
        <w:rPr>
          <w:rFonts w:hint="eastAsia"/>
          <w:b w:val="0"/>
          <w:bCs w:val="0"/>
          <w:lang w:val="en-US" w:eastAsia="zh-CN"/>
        </w:rPr>
        <w:t xml:space="preserve">    </w:t>
      </w:r>
      <w:r>
        <w:rPr>
          <w:rFonts w:hint="eastAsia"/>
          <w:b w:val="0"/>
          <w:bCs w:val="0"/>
        </w:rPr>
        <w:t xml:space="preserve">C. 汇合多重境象 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 xml:space="preserve">D．领会文章主题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陈子昂在《修竹篇序，里评价东方虬《咏孤桐篇》说： “不图正始之音， 复睹于兹，可使建安作者相视而笑． ”教材认为，这里的“正始之音”是( </w:t>
      </w:r>
      <w:r>
        <w:rPr>
          <w:rFonts w:hint="eastAsia"/>
          <w:b w:val="0"/>
          <w:bCs w:val="0"/>
          <w:lang w:val="en-US" w:eastAsia="zh-CN"/>
        </w:rPr>
        <w:t xml:space="preserve">    </w:t>
      </w:r>
      <w:r>
        <w:rPr>
          <w:rFonts w:hint="eastAsia"/>
          <w:b w:val="0"/>
          <w:bCs w:val="0"/>
        </w:rPr>
        <w:t xml:space="preserve"> )。 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指曹魏后期出现的何晏，王弼等开创的玄谈风气 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指曹魏正始时期作家的作品具有建安风骨 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泛指曹魏后期出现的阮籍，嵇康等作家的作品 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泛指曹魏正始时期作家的宣扬玄理的作品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“诗有可解、不可解、不必解，若水月镜花，勿泥其迹可也． ”提出这种 比较合乎诗歌创作，规律的通达见解的诗论家是( </w:t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 w:val="0"/>
          <w:bCs w:val="0"/>
        </w:rPr>
        <w:t>)。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05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袁宏道 </w:t>
      </w:r>
      <w:r>
        <w:rPr>
          <w:rFonts w:hint="eastAsia"/>
          <w:b w:val="0"/>
          <w:bCs w:val="0"/>
          <w:lang w:val="en-US" w:eastAsia="zh-CN"/>
        </w:rPr>
        <w:t xml:space="preserve">    </w:t>
      </w:r>
      <w:r>
        <w:rPr>
          <w:rFonts w:hint="eastAsia"/>
          <w:b w:val="0"/>
          <w:bCs w:val="0"/>
        </w:rPr>
        <w:t xml:space="preserve">B．谢榛 </w:t>
      </w:r>
      <w:r>
        <w:rPr>
          <w:rFonts w:hint="eastAsia"/>
          <w:b w:val="0"/>
          <w:bCs w:val="0"/>
          <w:lang w:val="en-US" w:eastAsia="zh-CN"/>
        </w:rPr>
        <w:t xml:space="preserve">       </w:t>
      </w:r>
      <w:r>
        <w:rPr>
          <w:rFonts w:hint="eastAsia"/>
          <w:b w:val="0"/>
          <w:bCs w:val="0"/>
        </w:rPr>
        <w:t>C. 严羽</w:t>
      </w:r>
      <w:r>
        <w:rPr>
          <w:rFonts w:hint="eastAsia"/>
          <w:b w:val="0"/>
          <w:bCs w:val="0"/>
          <w:lang w:val="en-US" w:eastAsia="zh-CN"/>
        </w:rPr>
        <w:t xml:space="preserve">     </w:t>
      </w:r>
      <w:r>
        <w:rPr>
          <w:rFonts w:hint="eastAsia"/>
          <w:b w:val="0"/>
          <w:bCs w:val="0"/>
        </w:rPr>
        <w:t xml:space="preserve"> D．叶燮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根据教材的论述，在其著作中提出许多充满辩证思想的近代文学理论批 评家是( </w:t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 w:val="0"/>
          <w:bCs w:val="0"/>
        </w:rPr>
        <w:t xml:space="preserve"> ) 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康有为 </w:t>
      </w:r>
      <w:r>
        <w:rPr>
          <w:rFonts w:hint="eastAsia"/>
          <w:b w:val="0"/>
          <w:bCs w:val="0"/>
          <w:lang w:val="en-US" w:eastAsia="zh-CN"/>
        </w:rPr>
        <w:t xml:space="preserve">     </w:t>
      </w:r>
      <w:r>
        <w:rPr>
          <w:rFonts w:hint="eastAsia"/>
          <w:b w:val="0"/>
          <w:bCs w:val="0"/>
        </w:rPr>
        <w:t xml:space="preserve">B．刘熙载 </w:t>
      </w:r>
      <w:r>
        <w:rPr>
          <w:rFonts w:hint="eastAsia"/>
          <w:b w:val="0"/>
          <w:bCs w:val="0"/>
          <w:lang w:val="en-US" w:eastAsia="zh-CN"/>
        </w:rPr>
        <w:t xml:space="preserve">     </w:t>
      </w:r>
      <w:r>
        <w:rPr>
          <w:rFonts w:hint="eastAsia"/>
          <w:b w:val="0"/>
          <w:bCs w:val="0"/>
        </w:rPr>
        <w:t>C．魏源</w:t>
      </w:r>
      <w:r>
        <w:rPr>
          <w:rFonts w:hint="eastAsia"/>
          <w:b w:val="0"/>
          <w:bCs w:val="0"/>
          <w:lang w:val="en-US" w:eastAsia="zh-CN"/>
        </w:rPr>
        <w:t xml:space="preserve">     </w:t>
      </w:r>
      <w:r>
        <w:rPr>
          <w:rFonts w:hint="eastAsia"/>
          <w:b w:val="0"/>
          <w:bCs w:val="0"/>
        </w:rPr>
        <w:t xml:space="preserve"> D．梁启超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</w:p>
    <w:p>
      <w:pPr>
        <w:widowControl w:val="0"/>
        <w:numPr>
          <w:ilvl w:val="0"/>
          <w:numId w:val="9"/>
        </w:numPr>
        <w:jc w:val="both"/>
        <w:rPr>
          <w:rFonts w:hint="eastAsia"/>
          <w:b/>
          <w:bCs/>
        </w:rPr>
      </w:pPr>
      <w:r>
        <w:rPr>
          <w:rFonts w:hint="eastAsia"/>
          <w:b/>
          <w:bCs/>
        </w:rPr>
        <w:t>阅读下列文字并回答下列问题(每小题 10 分，共 20 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 xml:space="preserve">所示书教及诗、赋、杂文，观之熟矣。大略如行云流水，初无定质，但常行 于所当行，常止于所不可不止。文理自然，姿态横生。孔子曰： “言之不文，行 而不远。 ”又曰： “辞达而已矣． ”夫言止于达意，即疑若不文，是大不然。求物 之妙，如系风捕影，能使是物了然于心者，盖千万人而不一遇也，而况能使了然 于口与手者乎?是之谓辞达。辞至于能达，则文不可胜用矣．(苏轼《答谢民师推 官书》)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1.</w:t>
      </w:r>
      <w:r>
        <w:rPr>
          <w:rFonts w:hint="eastAsia"/>
          <w:b w:val="0"/>
          <w:bCs w:val="0"/>
        </w:rPr>
        <w:t xml:space="preserve">把上面这段文字翻译成白话文．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</w:p>
    <w:p>
      <w:pPr>
        <w:widowControl w:val="0"/>
        <w:numPr>
          <w:ilvl w:val="0"/>
          <w:numId w:val="1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上面这段文字提出了什么样的文学理论观点？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</w:rPr>
      </w:pPr>
      <w:r>
        <w:rPr>
          <w:rFonts w:hint="eastAsia"/>
          <w:b/>
          <w:bCs/>
        </w:rPr>
        <w:t>问答题(三题中只任选两题；每小题 20 分，共 40 分)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试分析孔子文艺思想的审美特征。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eastAsiaTheme="minorEastAsia"/>
          <w:b w:val="0"/>
          <w:bCs w:val="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eastAsiaTheme="minorEastAsia"/>
          <w:b w:val="0"/>
          <w:bCs w:val="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eastAsiaTheme="minorEastAsia"/>
          <w:b w:val="0"/>
          <w:bCs w:val="0"/>
          <w:lang w:val="en-US" w:eastAsia="zh-CN"/>
        </w:rPr>
      </w:pPr>
      <w:r>
        <w:rPr>
          <w:rFonts w:hint="eastAsia" w:eastAsiaTheme="minorEastAsia"/>
          <w:b w:val="0"/>
          <w:bCs w:val="0"/>
          <w:lang w:val="en-US" w:eastAsia="zh-CN"/>
        </w:rPr>
        <w:t xml:space="preserve">何为司空图的 “思与境偕” ?请简要说明他的这一理论观点的渊源和意义．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eastAsiaTheme="minorEastAsia"/>
          <w:b w:val="0"/>
          <w:bCs w:val="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eastAsiaTheme="minorEastAsia"/>
          <w:b w:val="0"/>
          <w:bCs w:val="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eastAsiaTheme="minorEastAsia"/>
          <w:b w:val="0"/>
          <w:bCs w:val="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eastAsiaTheme="minorEastAsia"/>
          <w:b w:val="0"/>
          <w:bCs w:val="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eastAsiaTheme="minorEastAsia"/>
          <w:b w:val="0"/>
          <w:bCs w:val="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eastAsiaTheme="minorEastAsia"/>
          <w:b w:val="0"/>
          <w:bCs w:val="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eastAsiaTheme="minorEastAsia"/>
          <w:b w:val="0"/>
          <w:bCs w:val="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eastAsiaTheme="minorEastAsia"/>
          <w:b w:val="0"/>
          <w:bCs w:val="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eastAsiaTheme="minorEastAsia"/>
          <w:b w:val="0"/>
          <w:bCs w:val="0"/>
          <w:lang w:val="en-US" w:eastAsia="zh-CN"/>
        </w:rPr>
      </w:pPr>
      <w:r>
        <w:rPr>
          <w:rFonts w:hint="eastAsia" w:eastAsiaTheme="minorEastAsia"/>
          <w:b w:val="0"/>
          <w:bCs w:val="0"/>
          <w:lang w:val="en-US" w:eastAsia="zh-CN"/>
        </w:rPr>
        <w:t>请简要论述王国维在《人间词话》里所提出的“境界”的美学特征，井 评述它在中国文学理论批评史上的重要意义。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eastAsiaTheme="minorEastAsia"/>
          <w:b w:val="0"/>
          <w:bCs w:val="0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eastAsiaTheme="minorEastAsia"/>
          <w:b w:val="0"/>
          <w:bCs w:val="0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eastAsiaTheme="minorEastAsia"/>
          <w:b w:val="0"/>
          <w:bCs w:val="0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eastAsiaTheme="minorEastAsia"/>
          <w:b w:val="0"/>
          <w:bCs w:val="0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eastAsiaTheme="minorEastAsia"/>
          <w:b w:val="0"/>
          <w:bCs w:val="0"/>
          <w:lang w:val="en-US" w:eastAsia="zh-CN"/>
        </w:rPr>
      </w:pPr>
    </w:p>
    <w:p>
      <w:pPr>
        <w:rPr>
          <w:color w:val="auto"/>
        </w:rPr>
      </w:pPr>
    </w:p>
    <w:p>
      <w:pPr>
        <w:rPr>
          <w:rFonts w:hint="eastAsia"/>
          <w:lang w:val="en-US" w:eastAsia="zh-CN"/>
        </w:rPr>
      </w:pPr>
    </w:p>
    <w:sectPr>
      <w:footerReference r:id="rId3" w:type="default"/>
      <w:footerReference r:id="rId4" w:type="even"/>
      <w:pgSz w:w="23811" w:h="16838" w:orient="landscape"/>
      <w:pgMar w:top="1701" w:right="1440" w:bottom="1077" w:left="1701" w:header="851" w:footer="992" w:gutter="0"/>
      <w:cols w:space="427" w:num="2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4</w:t>
    </w:r>
    <w:r>
      <w:fldChar w:fldCharType="end"/>
    </w:r>
  </w:p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3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342243A"/>
    <w:multiLevelType w:val="singleLevel"/>
    <w:tmpl w:val="C342243A"/>
    <w:lvl w:ilvl="0" w:tentative="0">
      <w:start w:val="1"/>
      <w:numFmt w:val="decimal"/>
      <w:suff w:val="nothing"/>
      <w:lvlText w:val="%1．"/>
      <w:lvlJc w:val="left"/>
    </w:lvl>
  </w:abstractNum>
  <w:abstractNum w:abstractNumId="1">
    <w:nsid w:val="CDA198A4"/>
    <w:multiLevelType w:val="singleLevel"/>
    <w:tmpl w:val="CDA198A4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E8A6A991"/>
    <w:multiLevelType w:val="singleLevel"/>
    <w:tmpl w:val="E8A6A991"/>
    <w:lvl w:ilvl="0" w:tentative="0">
      <w:start w:val="2"/>
      <w:numFmt w:val="decimal"/>
      <w:suff w:val="nothing"/>
      <w:lvlText w:val="%1．"/>
      <w:lvlJc w:val="left"/>
    </w:lvl>
  </w:abstractNum>
  <w:abstractNum w:abstractNumId="3">
    <w:nsid w:val="F83B8A78"/>
    <w:multiLevelType w:val="singleLevel"/>
    <w:tmpl w:val="F83B8A78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051995FF"/>
    <w:multiLevelType w:val="singleLevel"/>
    <w:tmpl w:val="051995FF"/>
    <w:lvl w:ilvl="0" w:tentative="0">
      <w:start w:val="1"/>
      <w:numFmt w:val="upperLetter"/>
      <w:suff w:val="nothing"/>
      <w:lvlText w:val="%1．"/>
      <w:lvlJc w:val="left"/>
      <w:pPr>
        <w:ind w:left="105" w:leftChars="0" w:firstLine="0" w:firstLineChars="0"/>
      </w:pPr>
    </w:lvl>
  </w:abstractNum>
  <w:abstractNum w:abstractNumId="5">
    <w:nsid w:val="3575A3DF"/>
    <w:multiLevelType w:val="singleLevel"/>
    <w:tmpl w:val="3575A3DF"/>
    <w:lvl w:ilvl="0" w:tentative="0">
      <w:start w:val="1"/>
      <w:numFmt w:val="upperLetter"/>
      <w:suff w:val="space"/>
      <w:lvlText w:val="%1."/>
      <w:lvlJc w:val="left"/>
    </w:lvl>
  </w:abstractNum>
  <w:abstractNum w:abstractNumId="6">
    <w:nsid w:val="4FF931B6"/>
    <w:multiLevelType w:val="singleLevel"/>
    <w:tmpl w:val="4FF931B6"/>
    <w:lvl w:ilvl="0" w:tentative="0">
      <w:start w:val="1"/>
      <w:numFmt w:val="upperLetter"/>
      <w:suff w:val="space"/>
      <w:lvlText w:val="%1."/>
      <w:lvlJc w:val="left"/>
    </w:lvl>
  </w:abstractNum>
  <w:abstractNum w:abstractNumId="7">
    <w:nsid w:val="5E17174D"/>
    <w:multiLevelType w:val="singleLevel"/>
    <w:tmpl w:val="5E17174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8">
    <w:nsid w:val="5FC7F162"/>
    <w:multiLevelType w:val="singleLevel"/>
    <w:tmpl w:val="5FC7F162"/>
    <w:lvl w:ilvl="0" w:tentative="0">
      <w:start w:val="1"/>
      <w:numFmt w:val="decimal"/>
      <w:suff w:val="nothing"/>
      <w:lvlText w:val="%1．"/>
      <w:lvlJc w:val="left"/>
    </w:lvl>
  </w:abstractNum>
  <w:abstractNum w:abstractNumId="9">
    <w:nsid w:val="6B5088EB"/>
    <w:multiLevelType w:val="singleLevel"/>
    <w:tmpl w:val="6B5088EB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0">
    <w:nsid w:val="7A0DE393"/>
    <w:multiLevelType w:val="singleLevel"/>
    <w:tmpl w:val="7A0DE393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4"/>
  </w:num>
  <w:num w:numId="8">
    <w:abstractNumId w:val="10"/>
  </w:num>
  <w:num w:numId="9">
    <w:abstractNumId w:val="9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F94FD8"/>
    <w:rsid w:val="394A30A2"/>
    <w:rsid w:val="3FFD2C5B"/>
    <w:rsid w:val="41593D74"/>
    <w:rsid w:val="462D6ABB"/>
    <w:rsid w:val="47F94FD8"/>
    <w:rsid w:val="65575B6E"/>
    <w:rsid w:val="6D535020"/>
    <w:rsid w:val="79EF6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2018-04-26T01:59:00Z</dcterms:created>
  <dc:creator>Administrator</dc:creator>
  <cp:lastModifiedBy>广东卫培教务科朱老师</cp:lastModifiedBy>
  <dcterms:modified xsi:type="dcterms:W3CDTF">2019-11-16T06:47:02Z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