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 w:ascii="黑体" w:hAnsi="宋体" w:eastAsia="黑体"/>
          <w:sz w:val="36"/>
          <w:lang w:eastAsia="zh-CN"/>
        </w:rPr>
      </w:pPr>
      <w:r>
        <w:rPr>
          <w:rFonts w:hint="eastAsia" w:ascii="黑体" w:hAnsi="宋体" w:eastAsia="黑体"/>
          <w:sz w:val="36"/>
          <w:lang w:eastAsia="zh-CN"/>
        </w:rPr>
        <w:t>会计学参考答案</w:t>
      </w:r>
    </w:p>
    <w:p>
      <w:pPr>
        <w:numPr>
          <w:numId w:val="0"/>
        </w:numPr>
        <w:jc w:val="left"/>
        <w:rPr>
          <w:rFonts w:hint="eastAsia" w:ascii="黑体" w:hAnsi="宋体" w:eastAsia="黑体"/>
          <w:sz w:val="24"/>
          <w:szCs w:val="24"/>
          <w:lang w:eastAsia="zh-CN"/>
        </w:rPr>
      </w:pPr>
      <w:r>
        <w:rPr>
          <w:rFonts w:hint="eastAsia" w:ascii="黑体" w:hAnsi="宋体" w:eastAsia="黑体"/>
          <w:sz w:val="24"/>
          <w:szCs w:val="24"/>
          <w:lang w:eastAsia="zh-CN"/>
        </w:rPr>
        <w:t>一、名词解释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1.会计核算应当以权责的发生作为会计确认的时间基础，亦即费用或收入是否计入某会计期间，不是以是否在该期间内收到或付出现金为标志，而是依据收入是否归属该期间的成果、费用是否由该期间负担来确定。(又称应收应付制或应计制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2过去的交易事项形成并由企业拥有或控制的资源，该资源预期会给企业带来经济利益。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3.亦称稳健性原则，是指企业对交易或者事项进行会计确认、计量和报告应当保持应有的谨慎，不应高估资产或者收益、低估负债或者费用。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4.又称实地盘存法，是根据实地盘点或技术推算期末实存数量，作为各项存货账面结存数量的方法。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sz w:val="24"/>
          <w:szCs w:val="24"/>
          <w:lang w:val="en-US" w:eastAsia="zh-CN"/>
        </w:rPr>
      </w:pPr>
      <w:r>
        <w:rPr>
          <w:rFonts w:hint="eastAsia" w:ascii="新宋体" w:hAnsi="新宋体" w:eastAsia="新宋体" w:cs="新宋体"/>
          <w:sz w:val="24"/>
          <w:szCs w:val="24"/>
          <w:lang w:val="en-US" w:eastAsia="zh-CN"/>
        </w:rPr>
        <w:t>5.利润表是根据“收入一费用=利润”的原理，反映企业在一定会计期间的经营成果的动态报表。</w:t>
      </w:r>
    </w:p>
    <w:p>
      <w:pPr>
        <w:numPr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</w:t>
      </w:r>
      <w:r>
        <w:rPr>
          <w:rFonts w:hint="eastAsia" w:ascii="宋体" w:hAnsi="宋体" w:cs="宋体"/>
          <w:b/>
          <w:bCs/>
          <w:lang w:val="en-US" w:eastAsia="zh-CN"/>
        </w:rPr>
        <w:t>选择题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A    2.B    3.B   4.D  5.D   6.B  7.B  8.D  9.C  10.A   11.A   12.A  13.  A   14.C    15.A   16.D   17.B    18.D    19.C   20.C  </w:t>
      </w:r>
    </w:p>
    <w:p>
      <w:pPr>
        <w:numPr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三、判断题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240" w:lineRule="atLeast"/>
        <w:ind w:left="0" w:right="0" w:firstLine="0"/>
        <w:jc w:val="left"/>
        <w:rPr>
          <w:rFonts w:hint="default" w:ascii="宋体" w:hAnsi="宋体" w:eastAsia="宋体" w:cs="宋体"/>
          <w:b w:val="0"/>
          <w:bCs w:val="0"/>
          <w:i w:val="0"/>
          <w:caps w:val="0"/>
          <w:color w:val="2F2F2F"/>
          <w:spacing w:val="9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2F2F2F"/>
          <w:spacing w:val="9"/>
          <w:kern w:val="0"/>
          <w:sz w:val="24"/>
          <w:szCs w:val="24"/>
          <w:shd w:val="clear" w:fill="FFFFFF"/>
          <w:lang w:val="en-US" w:eastAsia="zh-CN" w:bidi="ar"/>
        </w:rPr>
        <w:t>1-10 错 错 对 对 对 错 错 对 错 错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240" w:lineRule="atLeast"/>
        <w:ind w:left="0" w:right="0" w:firstLine="0"/>
        <w:jc w:val="left"/>
        <w:rPr>
          <w:rFonts w:hint="eastAsia" w:ascii="宋体" w:hAnsi="宋体" w:eastAsia="宋体" w:cs="宋体"/>
          <w:b/>
          <w:bCs/>
          <w:i w:val="0"/>
          <w:caps w:val="0"/>
          <w:color w:val="2F2F2F"/>
          <w:spacing w:val="9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2F2F2F"/>
          <w:spacing w:val="9"/>
          <w:kern w:val="0"/>
          <w:sz w:val="24"/>
          <w:szCs w:val="24"/>
          <w:shd w:val="clear" w:fill="FFFFFF"/>
          <w:lang w:val="en-US" w:eastAsia="zh-CN" w:bidi="ar"/>
        </w:rPr>
        <w:t>四、解答题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240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2F2F2F"/>
          <w:spacing w:val="9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F2F2F"/>
          <w:spacing w:val="9"/>
          <w:kern w:val="0"/>
          <w:sz w:val="24"/>
          <w:szCs w:val="24"/>
          <w:shd w:val="clear" w:fill="FFFFFF"/>
          <w:lang w:val="en-US" w:eastAsia="zh-CN" w:bidi="ar"/>
        </w:rPr>
        <w:t>联系：总帐和明细帐核算内容相同。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240" w:lineRule="atLeas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2F2F2F"/>
          <w:spacing w:val="9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2F2F2F"/>
          <w:spacing w:val="9"/>
          <w:kern w:val="0"/>
          <w:sz w:val="24"/>
          <w:szCs w:val="24"/>
          <w:shd w:val="clear" w:fill="FFFFFF"/>
          <w:lang w:val="en-US" w:eastAsia="zh-CN" w:bidi="ar"/>
        </w:rPr>
        <w:t>区别：总帐是所属明细帐的总括，对明细帐起着控制统驭的作用；明细帐是总帐的详细记录，对总帐户起着补充说明的作用。</w:t>
      </w:r>
    </w:p>
    <w:p>
      <w:pPr>
        <w:keepNext w:val="0"/>
        <w:keepLines w:val="0"/>
        <w:widowControl/>
        <w:suppressLineNumbers w:val="0"/>
        <w:shd w:val="clear" w:fill="FFFFFF"/>
        <w:spacing w:before="0" w:beforeAutospacing="1" w:after="0" w:afterAutospacing="1" w:line="240" w:lineRule="atLeast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2F2F2F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2F2F2F"/>
          <w:spacing w:val="9"/>
          <w:kern w:val="0"/>
          <w:sz w:val="24"/>
          <w:szCs w:val="24"/>
          <w:shd w:val="clear" w:fill="FFFFFF"/>
          <w:lang w:val="en-US" w:eastAsia="zh-CN" w:bidi="ar"/>
        </w:rPr>
        <w:t>平行登记的要点：(1)登记的经济业务内容一致。(2)登记的方向一致。(3)登记的金额一致。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D0341E"/>
    <w:rsid w:val="0E295CBE"/>
    <w:rsid w:val="15D0341E"/>
    <w:rsid w:val="34A85AAB"/>
    <w:rsid w:val="55C4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2019-06-06T01:20:00Z</dcterms:created>
  <dc:creator>H⃝e⃝l⃝e⃝n⃝</dc:creator>
  <cp:lastModifiedBy>。!!!</cp:lastModifiedBy>
  <dcterms:modified xsi:type="dcterms:W3CDTF">2020-07-31T09:22:26Z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